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AB40" w14:textId="77777777" w:rsidR="00D063F4" w:rsidRDefault="00D063F4" w:rsidP="00042106">
      <w:pPr>
        <w:jc w:val="center"/>
        <w:rPr>
          <w:rStyle w:val="apple-converted-space"/>
          <w:rFonts w:eastAsiaTheme="majorEastAsia"/>
          <w:color w:val="000000"/>
          <w:sz w:val="24"/>
          <w:szCs w:val="24"/>
        </w:rPr>
      </w:pPr>
    </w:p>
    <w:p w14:paraId="33849E60" w14:textId="77777777" w:rsidR="00D063F4" w:rsidRDefault="00D063F4" w:rsidP="00042106">
      <w:pPr>
        <w:jc w:val="center"/>
        <w:rPr>
          <w:rStyle w:val="apple-converted-space"/>
          <w:rFonts w:eastAsiaTheme="majorEastAsia"/>
          <w:color w:val="000000"/>
          <w:sz w:val="24"/>
          <w:szCs w:val="24"/>
        </w:rPr>
      </w:pPr>
    </w:p>
    <w:p w14:paraId="3A53F3D4" w14:textId="77777777" w:rsidR="00D063F4" w:rsidRDefault="00D063F4" w:rsidP="00042106">
      <w:pPr>
        <w:jc w:val="center"/>
        <w:rPr>
          <w:rStyle w:val="apple-converted-space"/>
          <w:rFonts w:eastAsiaTheme="majorEastAsia"/>
          <w:color w:val="000000"/>
          <w:sz w:val="24"/>
          <w:szCs w:val="24"/>
        </w:rPr>
      </w:pPr>
    </w:p>
    <w:p w14:paraId="2D056CC9" w14:textId="77777777" w:rsidR="00D063F4" w:rsidRDefault="00D063F4" w:rsidP="00042106">
      <w:pPr>
        <w:jc w:val="center"/>
        <w:rPr>
          <w:rStyle w:val="apple-converted-space"/>
          <w:rFonts w:eastAsiaTheme="majorEastAsia"/>
          <w:color w:val="000000"/>
          <w:sz w:val="24"/>
          <w:szCs w:val="24"/>
        </w:rPr>
      </w:pPr>
    </w:p>
    <w:p w14:paraId="48D40AE1" w14:textId="77777777" w:rsidR="00D063F4" w:rsidRDefault="00D063F4" w:rsidP="00042106">
      <w:pPr>
        <w:jc w:val="center"/>
        <w:rPr>
          <w:rStyle w:val="apple-converted-space"/>
          <w:rFonts w:eastAsiaTheme="majorEastAsia"/>
          <w:color w:val="000000"/>
          <w:sz w:val="24"/>
          <w:szCs w:val="24"/>
        </w:rPr>
      </w:pPr>
    </w:p>
    <w:p w14:paraId="3A91388D" w14:textId="77777777" w:rsidR="000669AB" w:rsidRDefault="000669AB" w:rsidP="000669AB">
      <w:pPr>
        <w:jc w:val="center"/>
        <w:rPr>
          <w:rFonts w:ascii="Arial" w:hAnsi="Arial" w:cs="Arial"/>
          <w:sz w:val="28"/>
          <w:szCs w:val="28"/>
        </w:rPr>
      </w:pPr>
    </w:p>
    <w:p w14:paraId="70334C9D" w14:textId="77777777" w:rsidR="000669AB" w:rsidRPr="00AE76ED" w:rsidRDefault="000669AB" w:rsidP="000669AB">
      <w:pPr>
        <w:jc w:val="center"/>
        <w:rPr>
          <w:rFonts w:ascii="Arial" w:hAnsi="Arial" w:cs="Arial"/>
          <w:sz w:val="40"/>
          <w:szCs w:val="40"/>
        </w:rPr>
      </w:pPr>
      <w:r w:rsidRPr="00AE76ED">
        <w:rPr>
          <w:rFonts w:ascii="Arial" w:hAnsi="Arial" w:cs="Arial"/>
          <w:sz w:val="40"/>
          <w:szCs w:val="40"/>
        </w:rPr>
        <w:t>Submissions to the Standing Committee on Finance and Economic Affairs</w:t>
      </w:r>
    </w:p>
    <w:p w14:paraId="700598D6" w14:textId="77777777" w:rsidR="000669AB" w:rsidRPr="00AE76ED" w:rsidRDefault="000669AB" w:rsidP="000669AB">
      <w:pPr>
        <w:jc w:val="center"/>
        <w:rPr>
          <w:rFonts w:ascii="Arial" w:hAnsi="Arial" w:cs="Arial"/>
          <w:sz w:val="40"/>
          <w:szCs w:val="40"/>
        </w:rPr>
      </w:pPr>
    </w:p>
    <w:p w14:paraId="21C52F0C" w14:textId="77777777" w:rsidR="000669AB" w:rsidRPr="00AE76ED" w:rsidRDefault="000669AB" w:rsidP="000669AB">
      <w:pPr>
        <w:jc w:val="center"/>
        <w:rPr>
          <w:rFonts w:ascii="Arial" w:hAnsi="Arial" w:cs="Arial"/>
          <w:sz w:val="40"/>
          <w:szCs w:val="40"/>
        </w:rPr>
      </w:pPr>
      <w:r w:rsidRPr="00AE76ED">
        <w:rPr>
          <w:rFonts w:ascii="Arial" w:hAnsi="Arial" w:cs="Arial"/>
          <w:sz w:val="40"/>
          <w:szCs w:val="40"/>
        </w:rPr>
        <w:t>Re: Bill 105 – Schedule 9 (Workplace Safety and Insurance Act, 1997)</w:t>
      </w:r>
    </w:p>
    <w:p w14:paraId="07EED4A9" w14:textId="519A67F1" w:rsidR="00042106" w:rsidRPr="00AE76ED" w:rsidRDefault="00042106" w:rsidP="00042106">
      <w:pPr>
        <w:jc w:val="center"/>
        <w:rPr>
          <w:color w:val="000000"/>
          <w:sz w:val="40"/>
          <w:szCs w:val="40"/>
        </w:rPr>
      </w:pPr>
    </w:p>
    <w:p w14:paraId="36553060" w14:textId="65BDCE12" w:rsidR="00CE3CD9" w:rsidRPr="00AE76ED" w:rsidRDefault="00042106" w:rsidP="00042106">
      <w:pPr>
        <w:jc w:val="center"/>
        <w:rPr>
          <w:color w:val="000000"/>
          <w:sz w:val="40"/>
          <w:szCs w:val="40"/>
        </w:rPr>
      </w:pPr>
      <w:r w:rsidRPr="00AE76ED">
        <w:rPr>
          <w:color w:val="000000"/>
          <w:sz w:val="40"/>
          <w:szCs w:val="40"/>
        </w:rPr>
        <w:t xml:space="preserve">Submitted on behalf of </w:t>
      </w:r>
    </w:p>
    <w:p w14:paraId="598618FD" w14:textId="77777777" w:rsidR="00CE3CD9" w:rsidRPr="00AE76ED" w:rsidRDefault="00042106" w:rsidP="00042106">
      <w:pPr>
        <w:jc w:val="center"/>
        <w:rPr>
          <w:sz w:val="40"/>
          <w:szCs w:val="40"/>
        </w:rPr>
      </w:pPr>
      <w:r w:rsidRPr="00AE76ED">
        <w:rPr>
          <w:sz w:val="40"/>
          <w:szCs w:val="40"/>
        </w:rPr>
        <w:t>Ontario Network of Injured Workers’ Groups (ONIWG)</w:t>
      </w:r>
    </w:p>
    <w:p w14:paraId="00E1BD11" w14:textId="77777777" w:rsidR="00AE76ED" w:rsidRDefault="00AE76ED" w:rsidP="00042106">
      <w:pPr>
        <w:jc w:val="center"/>
        <w:rPr>
          <w:sz w:val="40"/>
          <w:szCs w:val="40"/>
        </w:rPr>
      </w:pPr>
    </w:p>
    <w:p w14:paraId="0E413101" w14:textId="6DC6C622" w:rsidR="00C16780" w:rsidRPr="00AE76ED" w:rsidRDefault="00AE76ED" w:rsidP="00042106">
      <w:pPr>
        <w:jc w:val="center"/>
        <w:rPr>
          <w:sz w:val="40"/>
          <w:szCs w:val="40"/>
        </w:rPr>
      </w:pPr>
      <w:r>
        <w:rPr>
          <w:sz w:val="40"/>
          <w:szCs w:val="40"/>
        </w:rPr>
        <w:t xml:space="preserve">Submitted by </w:t>
      </w:r>
      <w:r w:rsidR="00CC5B38" w:rsidRPr="00AE76ED">
        <w:rPr>
          <w:sz w:val="40"/>
          <w:szCs w:val="40"/>
        </w:rPr>
        <w:t>Steve Mantis</w:t>
      </w:r>
    </w:p>
    <w:p w14:paraId="6B217DBA" w14:textId="7FC07F32" w:rsidR="004959BD" w:rsidRPr="00AE76ED" w:rsidRDefault="00CC5B38" w:rsidP="00042106">
      <w:pPr>
        <w:jc w:val="center"/>
        <w:rPr>
          <w:sz w:val="40"/>
          <w:szCs w:val="40"/>
        </w:rPr>
      </w:pPr>
      <w:r w:rsidRPr="00AE76ED">
        <w:rPr>
          <w:sz w:val="40"/>
          <w:szCs w:val="40"/>
        </w:rPr>
        <w:t>Chair</w:t>
      </w:r>
      <w:r w:rsidR="00C16780" w:rsidRPr="00AE76ED">
        <w:rPr>
          <w:sz w:val="40"/>
          <w:szCs w:val="40"/>
        </w:rPr>
        <w:t>, Research Action Committee</w:t>
      </w:r>
    </w:p>
    <w:p w14:paraId="3BCEB568" w14:textId="011D8B4D" w:rsidR="00CE3CD9" w:rsidRPr="00AE76ED" w:rsidRDefault="00CE3CD9" w:rsidP="00042106">
      <w:pPr>
        <w:jc w:val="center"/>
        <w:rPr>
          <w:sz w:val="40"/>
          <w:szCs w:val="40"/>
        </w:rPr>
      </w:pPr>
      <w:r w:rsidRPr="00AE76ED">
        <w:rPr>
          <w:sz w:val="40"/>
          <w:szCs w:val="40"/>
        </w:rPr>
        <w:t>smantis@tbaytel.net</w:t>
      </w:r>
    </w:p>
    <w:p w14:paraId="7647C563" w14:textId="0B4E1E97" w:rsidR="00042106" w:rsidRPr="00AE76ED" w:rsidRDefault="00861460" w:rsidP="00042106">
      <w:pPr>
        <w:jc w:val="center"/>
        <w:rPr>
          <w:sz w:val="40"/>
          <w:szCs w:val="40"/>
        </w:rPr>
      </w:pPr>
      <w:r w:rsidRPr="00AE76ED">
        <w:rPr>
          <w:sz w:val="40"/>
          <w:szCs w:val="40"/>
        </w:rPr>
        <w:t>Ma</w:t>
      </w:r>
      <w:r w:rsidR="00C16780" w:rsidRPr="00AE76ED">
        <w:rPr>
          <w:sz w:val="40"/>
          <w:szCs w:val="40"/>
        </w:rPr>
        <w:t>y</w:t>
      </w:r>
      <w:r w:rsidRPr="00AE76ED">
        <w:rPr>
          <w:sz w:val="40"/>
          <w:szCs w:val="40"/>
        </w:rPr>
        <w:t xml:space="preserve"> </w:t>
      </w:r>
      <w:r w:rsidR="00C16780" w:rsidRPr="00AE76ED">
        <w:rPr>
          <w:sz w:val="40"/>
          <w:szCs w:val="40"/>
        </w:rPr>
        <w:t>1</w:t>
      </w:r>
      <w:r w:rsidR="00A53E64" w:rsidRPr="00AE76ED">
        <w:rPr>
          <w:sz w:val="40"/>
          <w:szCs w:val="40"/>
        </w:rPr>
        <w:t>3</w:t>
      </w:r>
      <w:r w:rsidR="00042106" w:rsidRPr="00AE76ED">
        <w:rPr>
          <w:sz w:val="40"/>
          <w:szCs w:val="40"/>
        </w:rPr>
        <w:t>, 202</w:t>
      </w:r>
      <w:r w:rsidR="009D588C" w:rsidRPr="00AE76ED">
        <w:rPr>
          <w:sz w:val="40"/>
          <w:szCs w:val="40"/>
        </w:rPr>
        <w:t>6</w:t>
      </w:r>
    </w:p>
    <w:p w14:paraId="54B49EFE" w14:textId="30444F37" w:rsidR="00AE76ED" w:rsidRPr="00AE76ED" w:rsidRDefault="00AE76ED">
      <w:pPr>
        <w:spacing w:after="160" w:line="278" w:lineRule="auto"/>
        <w:rPr>
          <w:sz w:val="40"/>
          <w:szCs w:val="40"/>
        </w:rPr>
      </w:pPr>
      <w:r w:rsidRPr="00AE76ED">
        <w:rPr>
          <w:sz w:val="40"/>
          <w:szCs w:val="40"/>
        </w:rPr>
        <w:br w:type="page"/>
      </w:r>
    </w:p>
    <w:p w14:paraId="479FBBC2" w14:textId="77777777" w:rsidR="00AE76ED" w:rsidRPr="00183143" w:rsidRDefault="00AE76ED" w:rsidP="00042106">
      <w:pPr>
        <w:jc w:val="center"/>
        <w:rPr>
          <w:sz w:val="24"/>
          <w:szCs w:val="24"/>
        </w:rPr>
      </w:pPr>
    </w:p>
    <w:p w14:paraId="2075CAED" w14:textId="77777777" w:rsidR="004959BD" w:rsidRPr="00183143" w:rsidRDefault="004959BD" w:rsidP="00737491">
      <w:pPr>
        <w:rPr>
          <w:sz w:val="24"/>
          <w:szCs w:val="24"/>
        </w:rPr>
      </w:pPr>
    </w:p>
    <w:p w14:paraId="4D0F66D5" w14:textId="77777777" w:rsidR="004959BD" w:rsidRPr="00183143" w:rsidRDefault="004959BD" w:rsidP="00737491">
      <w:pPr>
        <w:rPr>
          <w:sz w:val="24"/>
          <w:szCs w:val="24"/>
        </w:rPr>
      </w:pPr>
    </w:p>
    <w:p w14:paraId="1853AAE6" w14:textId="1403B213" w:rsidR="004959BD" w:rsidRPr="00183143" w:rsidRDefault="004959BD" w:rsidP="00737491">
      <w:pPr>
        <w:rPr>
          <w:sz w:val="24"/>
          <w:szCs w:val="24"/>
        </w:rPr>
      </w:pPr>
      <w:r w:rsidRPr="00183143">
        <w:rPr>
          <w:sz w:val="24"/>
          <w:szCs w:val="24"/>
        </w:rPr>
        <w:t xml:space="preserve">Thank you </w:t>
      </w:r>
      <w:r w:rsidR="005A1B60">
        <w:rPr>
          <w:sz w:val="24"/>
          <w:szCs w:val="24"/>
        </w:rPr>
        <w:t xml:space="preserve">for </w:t>
      </w:r>
      <w:r w:rsidR="00F57726">
        <w:rPr>
          <w:sz w:val="24"/>
          <w:szCs w:val="24"/>
        </w:rPr>
        <w:t xml:space="preserve">the opportunity to participate in the </w:t>
      </w:r>
      <w:r w:rsidR="00C16780">
        <w:rPr>
          <w:sz w:val="24"/>
          <w:szCs w:val="24"/>
        </w:rPr>
        <w:t>review of Bill 105</w:t>
      </w:r>
      <w:r w:rsidR="00F57726">
        <w:rPr>
          <w:sz w:val="24"/>
          <w:szCs w:val="24"/>
        </w:rPr>
        <w:t xml:space="preserve"> and </w:t>
      </w:r>
      <w:r w:rsidRPr="00183143">
        <w:rPr>
          <w:sz w:val="24"/>
          <w:szCs w:val="24"/>
        </w:rPr>
        <w:t xml:space="preserve">for </w:t>
      </w:r>
      <w:r w:rsidR="00F57726">
        <w:rPr>
          <w:sz w:val="24"/>
          <w:szCs w:val="24"/>
        </w:rPr>
        <w:t>your consideration</w:t>
      </w:r>
      <w:r w:rsidR="00861460">
        <w:rPr>
          <w:sz w:val="24"/>
          <w:szCs w:val="24"/>
        </w:rPr>
        <w:t xml:space="preserve"> of our submission</w:t>
      </w:r>
      <w:r w:rsidR="005A1B60">
        <w:rPr>
          <w:sz w:val="24"/>
          <w:szCs w:val="24"/>
        </w:rPr>
        <w:t xml:space="preserve">.  While </w:t>
      </w:r>
      <w:r w:rsidR="00C16780">
        <w:rPr>
          <w:sz w:val="24"/>
          <w:szCs w:val="24"/>
        </w:rPr>
        <w:t>Bill 105 – Schedule 9 deals with a few specific changes to the WSIA, we feel it is critical to understand the current state of workers compensation in Ontario, and across Canda, to view the proposals in Schedule 9.</w:t>
      </w:r>
    </w:p>
    <w:p w14:paraId="485F0AD7" w14:textId="77777777" w:rsidR="00BA729A" w:rsidRPr="00183143" w:rsidRDefault="00BA729A" w:rsidP="00737491">
      <w:pPr>
        <w:rPr>
          <w:sz w:val="24"/>
          <w:szCs w:val="24"/>
        </w:rPr>
      </w:pPr>
    </w:p>
    <w:p w14:paraId="62FF8781" w14:textId="56D78604" w:rsidR="00BA729A" w:rsidRPr="00183143" w:rsidRDefault="00BA729A" w:rsidP="00BA729A">
      <w:pPr>
        <w:rPr>
          <w:sz w:val="24"/>
          <w:szCs w:val="24"/>
        </w:rPr>
      </w:pPr>
      <w:r w:rsidRPr="00183143">
        <w:rPr>
          <w:sz w:val="24"/>
          <w:szCs w:val="24"/>
        </w:rPr>
        <w:t>Our main messages today are:</w:t>
      </w:r>
      <w:r w:rsidR="005A1B60">
        <w:rPr>
          <w:sz w:val="24"/>
          <w:szCs w:val="24"/>
        </w:rPr>
        <w:br/>
      </w:r>
    </w:p>
    <w:p w14:paraId="6BC66F12" w14:textId="00972A62" w:rsidR="005A1B60" w:rsidRDefault="005A1B60" w:rsidP="00CC5B38">
      <w:pPr>
        <w:pStyle w:val="ListParagraph"/>
        <w:numPr>
          <w:ilvl w:val="0"/>
          <w:numId w:val="2"/>
        </w:numPr>
        <w:rPr>
          <w:sz w:val="24"/>
          <w:szCs w:val="24"/>
        </w:rPr>
      </w:pPr>
      <w:r>
        <w:rPr>
          <w:sz w:val="24"/>
          <w:szCs w:val="24"/>
        </w:rPr>
        <w:t>The workers compensation system works well for maybe 80% of workers who file a claim for a workplace injury or illness.  For those workers with serious injuries or diseases, that end up with a life</w:t>
      </w:r>
      <w:r w:rsidR="00A704A7">
        <w:rPr>
          <w:sz w:val="24"/>
          <w:szCs w:val="24"/>
        </w:rPr>
        <w:t>-</w:t>
      </w:r>
      <w:r>
        <w:rPr>
          <w:sz w:val="24"/>
          <w:szCs w:val="24"/>
        </w:rPr>
        <w:t>long impairment or disability, the system often fails them.</w:t>
      </w:r>
      <w:r w:rsidR="00342CFA">
        <w:rPr>
          <w:sz w:val="24"/>
          <w:szCs w:val="24"/>
        </w:rPr>
        <w:t xml:space="preserve">  We need to better understand the system factors that influence long term outcomes for workers with </w:t>
      </w:r>
      <w:r w:rsidR="000E068F">
        <w:rPr>
          <w:sz w:val="24"/>
          <w:szCs w:val="24"/>
        </w:rPr>
        <w:t>serious, life</w:t>
      </w:r>
      <w:r w:rsidR="00342CFA">
        <w:rPr>
          <w:sz w:val="24"/>
          <w:szCs w:val="24"/>
        </w:rPr>
        <w:t xml:space="preserve"> altering injuries or diseases in order to improve the system for everyone.</w:t>
      </w:r>
    </w:p>
    <w:p w14:paraId="211C3B43" w14:textId="77777777" w:rsidR="00342CFA" w:rsidRDefault="00A704A7" w:rsidP="006D36B8">
      <w:pPr>
        <w:pStyle w:val="ListParagraph"/>
        <w:numPr>
          <w:ilvl w:val="0"/>
          <w:numId w:val="2"/>
        </w:numPr>
        <w:rPr>
          <w:sz w:val="24"/>
          <w:szCs w:val="24"/>
        </w:rPr>
      </w:pPr>
      <w:r>
        <w:rPr>
          <w:sz w:val="24"/>
          <w:szCs w:val="24"/>
        </w:rPr>
        <w:t>That workers compensation has changed significantly over the last three decades. The focus has shifted to one of financial responsibility and efficiency, often at the expense of those workers most in need of support and compensation.</w:t>
      </w:r>
      <w:r w:rsidR="006D36B8">
        <w:rPr>
          <w:sz w:val="24"/>
          <w:szCs w:val="24"/>
        </w:rPr>
        <w:t xml:space="preserve"> </w:t>
      </w:r>
    </w:p>
    <w:p w14:paraId="7FFE54BF" w14:textId="777FCA00" w:rsidR="00BA729A" w:rsidRPr="006D36B8" w:rsidRDefault="00BA729A" w:rsidP="006D36B8">
      <w:pPr>
        <w:pStyle w:val="ListParagraph"/>
        <w:numPr>
          <w:ilvl w:val="0"/>
          <w:numId w:val="2"/>
        </w:numPr>
        <w:rPr>
          <w:sz w:val="24"/>
          <w:szCs w:val="24"/>
        </w:rPr>
      </w:pPr>
      <w:r w:rsidRPr="006D36B8">
        <w:rPr>
          <w:sz w:val="24"/>
          <w:szCs w:val="24"/>
        </w:rPr>
        <w:t>Cost shifting from W</w:t>
      </w:r>
      <w:r w:rsidR="006D36B8">
        <w:rPr>
          <w:sz w:val="24"/>
          <w:szCs w:val="24"/>
        </w:rPr>
        <w:t>C</w:t>
      </w:r>
      <w:r w:rsidRPr="006D36B8">
        <w:rPr>
          <w:sz w:val="24"/>
          <w:szCs w:val="24"/>
        </w:rPr>
        <w:t>B</w:t>
      </w:r>
      <w:r w:rsidR="0023296C">
        <w:rPr>
          <w:sz w:val="24"/>
          <w:szCs w:val="24"/>
        </w:rPr>
        <w:t>/WSIB</w:t>
      </w:r>
      <w:r w:rsidRPr="006D36B8">
        <w:rPr>
          <w:sz w:val="24"/>
          <w:szCs w:val="24"/>
        </w:rPr>
        <w:t xml:space="preserve"> to provincial coffers in areas such as health care, income support, community services, and retirement has significant impact on the provincial budget</w:t>
      </w:r>
      <w:r w:rsidR="005A1B60" w:rsidRPr="006D36B8">
        <w:rPr>
          <w:sz w:val="24"/>
          <w:szCs w:val="24"/>
        </w:rPr>
        <w:t>s</w:t>
      </w:r>
      <w:r w:rsidR="008A44CF">
        <w:rPr>
          <w:sz w:val="24"/>
          <w:szCs w:val="24"/>
        </w:rPr>
        <w:t>.</w:t>
      </w:r>
    </w:p>
    <w:p w14:paraId="71FFAC62" w14:textId="471135D7" w:rsidR="00BA729A" w:rsidRPr="00183143" w:rsidRDefault="00342CFA" w:rsidP="00CC5B38">
      <w:pPr>
        <w:pStyle w:val="ListParagraph"/>
        <w:numPr>
          <w:ilvl w:val="0"/>
          <w:numId w:val="2"/>
        </w:numPr>
        <w:rPr>
          <w:sz w:val="24"/>
          <w:szCs w:val="24"/>
        </w:rPr>
      </w:pPr>
      <w:r>
        <w:rPr>
          <w:sz w:val="24"/>
          <w:szCs w:val="24"/>
        </w:rPr>
        <w:t xml:space="preserve">The deterioration of the </w:t>
      </w:r>
      <w:r w:rsidR="0023296C">
        <w:rPr>
          <w:sz w:val="24"/>
          <w:szCs w:val="24"/>
        </w:rPr>
        <w:t>w</w:t>
      </w:r>
      <w:r w:rsidR="00BA729A" w:rsidRPr="00183143">
        <w:rPr>
          <w:sz w:val="24"/>
          <w:szCs w:val="24"/>
        </w:rPr>
        <w:t xml:space="preserve">orkers </w:t>
      </w:r>
      <w:r w:rsidR="0023296C">
        <w:rPr>
          <w:sz w:val="24"/>
          <w:szCs w:val="24"/>
        </w:rPr>
        <w:t>c</w:t>
      </w:r>
      <w:r w:rsidR="00BA729A" w:rsidRPr="00183143">
        <w:rPr>
          <w:sz w:val="24"/>
          <w:szCs w:val="24"/>
        </w:rPr>
        <w:t>ompensation</w:t>
      </w:r>
      <w:r>
        <w:rPr>
          <w:sz w:val="24"/>
          <w:szCs w:val="24"/>
        </w:rPr>
        <w:t xml:space="preserve"> system</w:t>
      </w:r>
      <w:r w:rsidR="00BA729A" w:rsidRPr="00183143">
        <w:rPr>
          <w:sz w:val="24"/>
          <w:szCs w:val="24"/>
        </w:rPr>
        <w:t xml:space="preserve"> </w:t>
      </w:r>
      <w:r w:rsidRPr="00183143">
        <w:rPr>
          <w:sz w:val="24"/>
          <w:szCs w:val="24"/>
        </w:rPr>
        <w:t>has</w:t>
      </w:r>
      <w:r w:rsidR="00BA729A" w:rsidRPr="00183143">
        <w:rPr>
          <w:sz w:val="24"/>
          <w:szCs w:val="24"/>
        </w:rPr>
        <w:t xml:space="preserve"> long term consequences </w:t>
      </w:r>
      <w:r>
        <w:rPr>
          <w:sz w:val="24"/>
          <w:szCs w:val="24"/>
        </w:rPr>
        <w:t xml:space="preserve">on </w:t>
      </w:r>
      <w:r w:rsidRPr="00183143">
        <w:rPr>
          <w:sz w:val="24"/>
          <w:szCs w:val="24"/>
        </w:rPr>
        <w:t xml:space="preserve">Occupational Health </w:t>
      </w:r>
      <w:r>
        <w:rPr>
          <w:sz w:val="24"/>
          <w:szCs w:val="24"/>
        </w:rPr>
        <w:t xml:space="preserve">&amp; Safety </w:t>
      </w:r>
      <w:r w:rsidRPr="00183143">
        <w:rPr>
          <w:sz w:val="24"/>
          <w:szCs w:val="24"/>
        </w:rPr>
        <w:t xml:space="preserve">and </w:t>
      </w:r>
      <w:r w:rsidR="00BA729A" w:rsidRPr="00183143">
        <w:rPr>
          <w:sz w:val="24"/>
          <w:szCs w:val="24"/>
        </w:rPr>
        <w:t>for workers, their families, and our economy.</w:t>
      </w:r>
    </w:p>
    <w:p w14:paraId="47EC6077" w14:textId="77777777" w:rsidR="00BA729A" w:rsidRPr="00183143" w:rsidRDefault="00BA729A" w:rsidP="00737491">
      <w:pPr>
        <w:rPr>
          <w:sz w:val="24"/>
          <w:szCs w:val="24"/>
        </w:rPr>
      </w:pPr>
    </w:p>
    <w:p w14:paraId="30E77084" w14:textId="6D36C67C" w:rsidR="004959BD" w:rsidRDefault="00C16780" w:rsidP="00737491">
      <w:pPr>
        <w:rPr>
          <w:sz w:val="24"/>
          <w:szCs w:val="24"/>
        </w:rPr>
      </w:pPr>
      <w:r w:rsidRPr="00183143">
        <w:rPr>
          <w:sz w:val="24"/>
          <w:szCs w:val="24"/>
        </w:rPr>
        <w:t xml:space="preserve">Our </w:t>
      </w:r>
      <w:r>
        <w:rPr>
          <w:sz w:val="24"/>
          <w:szCs w:val="24"/>
        </w:rPr>
        <w:t>comments on Bill 105</w:t>
      </w:r>
      <w:r w:rsidRPr="00183143">
        <w:rPr>
          <w:sz w:val="24"/>
          <w:szCs w:val="24"/>
        </w:rPr>
        <w:t xml:space="preserve"> today are:</w:t>
      </w:r>
    </w:p>
    <w:p w14:paraId="69FBF6E0" w14:textId="77777777" w:rsidR="00451ACA" w:rsidRDefault="00451ACA" w:rsidP="00451ACA">
      <w:pPr>
        <w:rPr>
          <w:b/>
          <w:bCs/>
          <w:sz w:val="24"/>
          <w:szCs w:val="24"/>
        </w:rPr>
      </w:pPr>
    </w:p>
    <w:p w14:paraId="0697B7B0" w14:textId="772BE4F8" w:rsidR="00451ACA" w:rsidRPr="00451ACA" w:rsidRDefault="00451ACA" w:rsidP="00451ACA">
      <w:pPr>
        <w:rPr>
          <w:b/>
          <w:bCs/>
          <w:sz w:val="24"/>
          <w:szCs w:val="24"/>
        </w:rPr>
      </w:pPr>
      <w:r w:rsidRPr="00451ACA">
        <w:rPr>
          <w:b/>
          <w:bCs/>
          <w:sz w:val="24"/>
          <w:szCs w:val="24"/>
        </w:rPr>
        <w:t>Positive Elements</w:t>
      </w:r>
    </w:p>
    <w:p w14:paraId="056E7C96" w14:textId="77777777" w:rsidR="00451ACA" w:rsidRPr="00451ACA" w:rsidRDefault="00451ACA" w:rsidP="00451ACA">
      <w:pPr>
        <w:rPr>
          <w:sz w:val="24"/>
          <w:szCs w:val="24"/>
        </w:rPr>
      </w:pPr>
    </w:p>
    <w:p w14:paraId="7AAE28F5" w14:textId="77777777" w:rsidR="00451ACA" w:rsidRPr="00451ACA" w:rsidRDefault="00451ACA" w:rsidP="00451ACA">
      <w:pPr>
        <w:rPr>
          <w:sz w:val="24"/>
          <w:szCs w:val="24"/>
        </w:rPr>
      </w:pPr>
      <w:r w:rsidRPr="00451ACA">
        <w:rPr>
          <w:sz w:val="24"/>
          <w:szCs w:val="24"/>
        </w:rPr>
        <w:t>We acknowledge and support the following proposed changes:</w:t>
      </w:r>
    </w:p>
    <w:p w14:paraId="06662E20" w14:textId="77777777" w:rsidR="00451ACA" w:rsidRPr="00451ACA" w:rsidRDefault="00451ACA" w:rsidP="00451ACA">
      <w:pPr>
        <w:rPr>
          <w:sz w:val="24"/>
          <w:szCs w:val="24"/>
        </w:rPr>
      </w:pPr>
    </w:p>
    <w:p w14:paraId="1904437D" w14:textId="77777777" w:rsidR="00451ACA" w:rsidRPr="00451ACA" w:rsidRDefault="00451ACA" w:rsidP="00451ACA">
      <w:pPr>
        <w:numPr>
          <w:ilvl w:val="0"/>
          <w:numId w:val="15"/>
        </w:numPr>
        <w:spacing w:after="160" w:line="259" w:lineRule="auto"/>
        <w:rPr>
          <w:sz w:val="24"/>
          <w:szCs w:val="24"/>
        </w:rPr>
      </w:pPr>
      <w:r w:rsidRPr="00451ACA">
        <w:rPr>
          <w:sz w:val="24"/>
          <w:szCs w:val="24"/>
        </w:rPr>
        <w:t>Restoring LOE benefits to 90% of net earnings</w:t>
      </w:r>
    </w:p>
    <w:p w14:paraId="539DDF49" w14:textId="0FA7C4FF" w:rsidR="00451ACA" w:rsidRPr="00451ACA" w:rsidRDefault="00451ACA" w:rsidP="00451ACA">
      <w:pPr>
        <w:numPr>
          <w:ilvl w:val="0"/>
          <w:numId w:val="15"/>
        </w:numPr>
        <w:spacing w:after="160" w:line="259" w:lineRule="auto"/>
        <w:rPr>
          <w:sz w:val="24"/>
          <w:szCs w:val="24"/>
        </w:rPr>
      </w:pPr>
      <w:r w:rsidRPr="00451ACA">
        <w:rPr>
          <w:sz w:val="24"/>
          <w:szCs w:val="24"/>
        </w:rPr>
        <w:t>Extending LOE benefits beyond age 65</w:t>
      </w:r>
      <w:r>
        <w:rPr>
          <w:sz w:val="24"/>
          <w:szCs w:val="24"/>
        </w:rPr>
        <w:t xml:space="preserve"> to address age discrimination</w:t>
      </w:r>
    </w:p>
    <w:p w14:paraId="6A8BDB4B" w14:textId="77777777" w:rsidR="00451ACA" w:rsidRPr="00451ACA" w:rsidRDefault="00451ACA" w:rsidP="00451ACA">
      <w:pPr>
        <w:numPr>
          <w:ilvl w:val="0"/>
          <w:numId w:val="15"/>
        </w:numPr>
        <w:spacing w:after="160" w:line="259" w:lineRule="auto"/>
        <w:rPr>
          <w:sz w:val="24"/>
          <w:szCs w:val="24"/>
        </w:rPr>
      </w:pPr>
      <w:r w:rsidRPr="00451ACA">
        <w:rPr>
          <w:sz w:val="24"/>
          <w:szCs w:val="24"/>
        </w:rPr>
        <w:t>Including residential care facilities and group homes under mandatory WSIB coverage.</w:t>
      </w:r>
    </w:p>
    <w:p w14:paraId="1268BC0B" w14:textId="77777777" w:rsidR="00451ACA" w:rsidRPr="00451ACA" w:rsidRDefault="00451ACA" w:rsidP="00451ACA">
      <w:pPr>
        <w:rPr>
          <w:sz w:val="24"/>
          <w:szCs w:val="24"/>
        </w:rPr>
      </w:pPr>
      <w:r w:rsidRPr="00451ACA">
        <w:rPr>
          <w:sz w:val="24"/>
          <w:szCs w:val="24"/>
        </w:rPr>
        <w:t>These measures are long overdue and will improve fairness for injured workers.</w:t>
      </w:r>
    </w:p>
    <w:p w14:paraId="4EB159EF" w14:textId="77777777" w:rsidR="00AE76ED" w:rsidRDefault="00451ACA" w:rsidP="00451ACA">
      <w:pPr>
        <w:spacing w:after="160" w:line="259" w:lineRule="auto"/>
        <w:rPr>
          <w:sz w:val="24"/>
          <w:szCs w:val="24"/>
        </w:rPr>
      </w:pPr>
      <w:r w:rsidRPr="00451ACA">
        <w:rPr>
          <w:sz w:val="24"/>
          <w:szCs w:val="24"/>
        </w:rPr>
        <w:t xml:space="preserve">However, </w:t>
      </w:r>
      <w:r>
        <w:rPr>
          <w:sz w:val="24"/>
          <w:szCs w:val="24"/>
        </w:rPr>
        <w:t xml:space="preserve"> </w:t>
      </w:r>
      <w:r w:rsidR="00AE76ED">
        <w:rPr>
          <w:sz w:val="24"/>
          <w:szCs w:val="24"/>
        </w:rPr>
        <w:t xml:space="preserve">restoring LOE benefits to 90% doesn’t address the losses suffered by thousands of injured workers and their families.  This change should be retroactive to 1998.   </w:t>
      </w:r>
    </w:p>
    <w:p w14:paraId="679D7A0A" w14:textId="543CD5C0" w:rsidR="003D31EB" w:rsidRDefault="00AE76ED" w:rsidP="00451ACA">
      <w:pPr>
        <w:spacing w:after="160" w:line="259" w:lineRule="auto"/>
        <w:rPr>
          <w:sz w:val="24"/>
          <w:szCs w:val="24"/>
        </w:rPr>
      </w:pPr>
      <w:r>
        <w:rPr>
          <w:sz w:val="24"/>
          <w:szCs w:val="24"/>
        </w:rPr>
        <w:t>E</w:t>
      </w:r>
      <w:r w:rsidR="00451ACA" w:rsidRPr="00451ACA">
        <w:rPr>
          <w:sz w:val="24"/>
          <w:szCs w:val="24"/>
        </w:rPr>
        <w:t>xtending LOE benefits beyond age 65</w:t>
      </w:r>
      <w:r w:rsidR="00451ACA">
        <w:rPr>
          <w:sz w:val="24"/>
          <w:szCs w:val="24"/>
        </w:rPr>
        <w:t xml:space="preserve"> to address age discrimination fall short of achieving the goal of equity for workers injured or made ill by workplace toxin exposures. </w:t>
      </w:r>
      <w:r w:rsidR="005B59B3">
        <w:rPr>
          <w:sz w:val="24"/>
          <w:szCs w:val="24"/>
        </w:rPr>
        <w:t>Age 70 should be the normal time when LOE benefits end with the provision to extend benefits on an individual basis.</w:t>
      </w:r>
    </w:p>
    <w:p w14:paraId="37EB2878" w14:textId="51443D39" w:rsidR="003D31EB" w:rsidRDefault="003D31EB" w:rsidP="00451ACA">
      <w:pPr>
        <w:spacing w:after="160" w:line="259" w:lineRule="auto"/>
        <w:rPr>
          <w:sz w:val="24"/>
          <w:szCs w:val="24"/>
        </w:rPr>
      </w:pPr>
      <w:r>
        <w:rPr>
          <w:sz w:val="24"/>
          <w:szCs w:val="24"/>
        </w:rPr>
        <w:t xml:space="preserve">And extending coverage to group homes </w:t>
      </w:r>
      <w:r w:rsidR="00AE76ED">
        <w:rPr>
          <w:sz w:val="24"/>
          <w:szCs w:val="24"/>
        </w:rPr>
        <w:t>is only a small step to full universal coverage for all workers.</w:t>
      </w:r>
    </w:p>
    <w:p w14:paraId="5702A5C5" w14:textId="45A54B20" w:rsidR="00451ACA" w:rsidRPr="00451ACA" w:rsidRDefault="00451ACA" w:rsidP="00451ACA">
      <w:pPr>
        <w:spacing w:after="160" w:line="259" w:lineRule="auto"/>
        <w:rPr>
          <w:sz w:val="24"/>
          <w:szCs w:val="24"/>
        </w:rPr>
      </w:pPr>
      <w:r>
        <w:rPr>
          <w:sz w:val="24"/>
          <w:szCs w:val="24"/>
        </w:rPr>
        <w:lastRenderedPageBreak/>
        <w:t>And t</w:t>
      </w:r>
      <w:r w:rsidRPr="00451ACA">
        <w:rPr>
          <w:sz w:val="24"/>
          <w:szCs w:val="24"/>
        </w:rPr>
        <w:t>he remaining Schedule 9 amendments, particularly the elimination of the 72</w:t>
      </w:r>
      <w:r w:rsidRPr="00451ACA">
        <w:rPr>
          <w:sz w:val="24"/>
          <w:szCs w:val="24"/>
        </w:rPr>
        <w:noBreakHyphen/>
        <w:t>month lock</w:t>
      </w:r>
      <w:r w:rsidRPr="00451ACA">
        <w:rPr>
          <w:sz w:val="24"/>
          <w:szCs w:val="24"/>
        </w:rPr>
        <w:noBreakHyphen/>
        <w:t>in and the use of unrelated social benefits to reduce WSIB benefits, represent a major step backward</w:t>
      </w:r>
      <w:r w:rsidR="007744C7">
        <w:rPr>
          <w:sz w:val="24"/>
          <w:szCs w:val="24"/>
        </w:rPr>
        <w:t xml:space="preserve"> and should be abandoned.</w:t>
      </w:r>
    </w:p>
    <w:p w14:paraId="0F084992" w14:textId="77777777" w:rsidR="00C16780" w:rsidRDefault="00C16780" w:rsidP="00737491">
      <w:pPr>
        <w:rPr>
          <w:sz w:val="24"/>
          <w:szCs w:val="24"/>
        </w:rPr>
      </w:pPr>
    </w:p>
    <w:p w14:paraId="0D36E678" w14:textId="77777777" w:rsidR="00C16780" w:rsidRPr="00183143" w:rsidRDefault="00C16780" w:rsidP="00737491">
      <w:pPr>
        <w:rPr>
          <w:sz w:val="24"/>
          <w:szCs w:val="24"/>
        </w:rPr>
      </w:pPr>
    </w:p>
    <w:p w14:paraId="05EFA5A2" w14:textId="5368266A" w:rsidR="00737491" w:rsidRPr="00183143" w:rsidRDefault="00737491" w:rsidP="00737491">
      <w:pPr>
        <w:rPr>
          <w:sz w:val="24"/>
          <w:szCs w:val="24"/>
        </w:rPr>
      </w:pPr>
      <w:r w:rsidRPr="00183143">
        <w:rPr>
          <w:sz w:val="24"/>
          <w:szCs w:val="24"/>
        </w:rPr>
        <w:t>Introduction</w:t>
      </w:r>
    </w:p>
    <w:p w14:paraId="55B1FBF6" w14:textId="77777777" w:rsidR="00737491" w:rsidRPr="00183143" w:rsidRDefault="00737491" w:rsidP="00737491">
      <w:pPr>
        <w:rPr>
          <w:sz w:val="24"/>
          <w:szCs w:val="24"/>
        </w:rPr>
      </w:pPr>
    </w:p>
    <w:p w14:paraId="281BEA7B" w14:textId="704A441D" w:rsidR="00737491" w:rsidRPr="00183143" w:rsidRDefault="00737491" w:rsidP="00737491">
      <w:pPr>
        <w:jc w:val="both"/>
        <w:rPr>
          <w:sz w:val="24"/>
          <w:szCs w:val="24"/>
        </w:rPr>
      </w:pPr>
      <w:r w:rsidRPr="00183143">
        <w:rPr>
          <w:sz w:val="24"/>
          <w:szCs w:val="24"/>
        </w:rPr>
        <w:t>The Ontario Network of Injured Workers’ Groups (ONIWG) was founded in 1991 and since then has actively advocated on behalf of injured</w:t>
      </w:r>
      <w:r w:rsidR="004959BD" w:rsidRPr="00183143">
        <w:rPr>
          <w:sz w:val="24"/>
          <w:szCs w:val="24"/>
        </w:rPr>
        <w:t>, ill, and disabled</w:t>
      </w:r>
      <w:r w:rsidRPr="00183143">
        <w:rPr>
          <w:sz w:val="24"/>
          <w:szCs w:val="24"/>
        </w:rPr>
        <w:t xml:space="preserve"> workers; this is done primarily on a systemic basis.   We intervened in </w:t>
      </w:r>
      <w:r w:rsidR="00CC5B38" w:rsidRPr="00183143">
        <w:rPr>
          <w:sz w:val="24"/>
          <w:szCs w:val="24"/>
        </w:rPr>
        <w:t>five</w:t>
      </w:r>
      <w:r w:rsidRPr="00183143">
        <w:rPr>
          <w:sz w:val="24"/>
          <w:szCs w:val="24"/>
        </w:rPr>
        <w:t xml:space="preserve"> Supreme Court of Canada cases that affected the rights of injured workers including the Martin &amp; </w:t>
      </w:r>
      <w:proofErr w:type="spellStart"/>
      <w:r w:rsidRPr="00183143">
        <w:rPr>
          <w:sz w:val="24"/>
          <w:szCs w:val="24"/>
        </w:rPr>
        <w:t>Laseur</w:t>
      </w:r>
      <w:proofErr w:type="spellEnd"/>
      <w:r w:rsidRPr="00183143">
        <w:rPr>
          <w:sz w:val="24"/>
          <w:szCs w:val="24"/>
        </w:rPr>
        <w:t xml:space="preserve"> v Nova </w:t>
      </w:r>
      <w:r w:rsidR="007E16E8" w:rsidRPr="00183143">
        <w:rPr>
          <w:sz w:val="24"/>
          <w:szCs w:val="24"/>
        </w:rPr>
        <w:t>Scotia,</w:t>
      </w:r>
      <w:r w:rsidRPr="00183143">
        <w:rPr>
          <w:sz w:val="24"/>
          <w:szCs w:val="24"/>
        </w:rPr>
        <w:t xml:space="preserve"> </w:t>
      </w:r>
      <w:r w:rsidR="00CC5B38" w:rsidRPr="00183143">
        <w:rPr>
          <w:sz w:val="24"/>
          <w:szCs w:val="24"/>
        </w:rPr>
        <w:t>which</w:t>
      </w:r>
      <w:r w:rsidRPr="00183143">
        <w:rPr>
          <w:sz w:val="24"/>
          <w:szCs w:val="24"/>
        </w:rPr>
        <w:t xml:space="preserve"> involved a Charter challenge to the strict limits to the Nova Scotia chronic pain regulation.  We </w:t>
      </w:r>
      <w:r w:rsidR="00E06AED">
        <w:rPr>
          <w:sz w:val="24"/>
          <w:szCs w:val="24"/>
        </w:rPr>
        <w:t>have</w:t>
      </w:r>
      <w:r w:rsidRPr="00183143">
        <w:rPr>
          <w:sz w:val="24"/>
          <w:szCs w:val="24"/>
        </w:rPr>
        <w:t xml:space="preserve"> met</w:t>
      </w:r>
      <w:r w:rsidR="00E06AED">
        <w:rPr>
          <w:sz w:val="24"/>
          <w:szCs w:val="24"/>
        </w:rPr>
        <w:t xml:space="preserve"> regularly</w:t>
      </w:r>
      <w:r w:rsidRPr="00183143">
        <w:rPr>
          <w:sz w:val="24"/>
          <w:szCs w:val="24"/>
        </w:rPr>
        <w:t xml:space="preserve"> with senior levels of the Ministry of Labour, including the Minister of Labour </w:t>
      </w:r>
      <w:r w:rsidR="000A00A9" w:rsidRPr="00183143">
        <w:rPr>
          <w:sz w:val="24"/>
          <w:szCs w:val="24"/>
        </w:rPr>
        <w:t>and</w:t>
      </w:r>
      <w:r w:rsidRPr="00183143">
        <w:rPr>
          <w:sz w:val="24"/>
          <w:szCs w:val="24"/>
        </w:rPr>
        <w:t xml:space="preserve"> with senior management at the </w:t>
      </w:r>
      <w:r w:rsidR="009D588C">
        <w:rPr>
          <w:sz w:val="24"/>
          <w:szCs w:val="24"/>
        </w:rPr>
        <w:t xml:space="preserve">Ontario </w:t>
      </w:r>
      <w:r w:rsidRPr="00183143">
        <w:rPr>
          <w:sz w:val="24"/>
          <w:szCs w:val="24"/>
        </w:rPr>
        <w:t xml:space="preserve">Workplace Safety &amp; Insurance Board (WSIB) and participate in public consultations on issues that affect injured </w:t>
      </w:r>
      <w:r w:rsidR="000669AB">
        <w:rPr>
          <w:sz w:val="24"/>
          <w:szCs w:val="24"/>
        </w:rPr>
        <w:t xml:space="preserve">and disabled </w:t>
      </w:r>
      <w:r w:rsidRPr="00183143">
        <w:rPr>
          <w:sz w:val="24"/>
          <w:szCs w:val="24"/>
        </w:rPr>
        <w:t>workers.  At these meetings, the Ontario Network of Injured Workers’ Groups advocate for systemic change to benefit all workers</w:t>
      </w:r>
      <w:r w:rsidR="00AD5ED2">
        <w:rPr>
          <w:sz w:val="24"/>
          <w:szCs w:val="24"/>
        </w:rPr>
        <w:t>,</w:t>
      </w:r>
      <w:r w:rsidR="004959BD" w:rsidRPr="00183143">
        <w:rPr>
          <w:sz w:val="24"/>
          <w:szCs w:val="24"/>
        </w:rPr>
        <w:t xml:space="preserve"> their communities</w:t>
      </w:r>
      <w:r w:rsidR="00AD5ED2">
        <w:rPr>
          <w:sz w:val="24"/>
          <w:szCs w:val="24"/>
        </w:rPr>
        <w:t>, and the system in general</w:t>
      </w:r>
      <w:r w:rsidRPr="00183143">
        <w:rPr>
          <w:sz w:val="24"/>
          <w:szCs w:val="24"/>
        </w:rPr>
        <w:t>.</w:t>
      </w:r>
    </w:p>
    <w:p w14:paraId="51FF298E" w14:textId="77777777" w:rsidR="00737491" w:rsidRPr="00183143" w:rsidRDefault="00737491" w:rsidP="00737491">
      <w:pPr>
        <w:jc w:val="both"/>
        <w:rPr>
          <w:sz w:val="24"/>
          <w:szCs w:val="24"/>
        </w:rPr>
      </w:pPr>
    </w:p>
    <w:p w14:paraId="603EFE31" w14:textId="210EC43A" w:rsidR="00737491" w:rsidRPr="00183143" w:rsidRDefault="00737491" w:rsidP="00737491">
      <w:pPr>
        <w:jc w:val="both"/>
        <w:rPr>
          <w:sz w:val="24"/>
          <w:szCs w:val="24"/>
        </w:rPr>
      </w:pPr>
      <w:r w:rsidRPr="00183143">
        <w:rPr>
          <w:sz w:val="24"/>
          <w:szCs w:val="24"/>
        </w:rPr>
        <w:t xml:space="preserve">Our group members are injured worker organizations in the province of Ontario. ONIWG is a democratically governed organization, with 22 member groups from all parts of Ontario.   These individual groups also work closely with other groups and agencies in their individual communities in order to advance </w:t>
      </w:r>
      <w:r w:rsidR="00AD5ED2">
        <w:rPr>
          <w:sz w:val="24"/>
          <w:szCs w:val="24"/>
        </w:rPr>
        <w:t xml:space="preserve">and support </w:t>
      </w:r>
      <w:r w:rsidRPr="00183143">
        <w:rPr>
          <w:sz w:val="24"/>
          <w:szCs w:val="24"/>
        </w:rPr>
        <w:t xml:space="preserve">the interests of injured </w:t>
      </w:r>
      <w:r w:rsidR="004959BD" w:rsidRPr="00183143">
        <w:rPr>
          <w:sz w:val="24"/>
          <w:szCs w:val="24"/>
        </w:rPr>
        <w:t xml:space="preserve">and disabled </w:t>
      </w:r>
      <w:r w:rsidRPr="00183143">
        <w:rPr>
          <w:sz w:val="24"/>
          <w:szCs w:val="24"/>
        </w:rPr>
        <w:t>workers</w:t>
      </w:r>
      <w:r w:rsidR="00AD5ED2">
        <w:rPr>
          <w:sz w:val="24"/>
          <w:szCs w:val="24"/>
        </w:rPr>
        <w:t xml:space="preserve"> and their families</w:t>
      </w:r>
      <w:r w:rsidRPr="00183143">
        <w:rPr>
          <w:sz w:val="24"/>
          <w:szCs w:val="24"/>
        </w:rPr>
        <w:t xml:space="preserve">.  </w:t>
      </w:r>
    </w:p>
    <w:p w14:paraId="0200C129" w14:textId="0AD5CAAD" w:rsidR="004959BD" w:rsidRDefault="004959BD" w:rsidP="004959BD">
      <w:pPr>
        <w:pStyle w:val="NormalWeb"/>
      </w:pPr>
      <w:r w:rsidRPr="00183143">
        <w:t xml:space="preserve">The ONIWG Research Action Committee </w:t>
      </w:r>
      <w:r w:rsidR="00DD796A" w:rsidRPr="00183143">
        <w:t xml:space="preserve">(RAC) </w:t>
      </w:r>
      <w:r w:rsidRPr="00183143">
        <w:t>was formed in 2013</w:t>
      </w:r>
      <w:r w:rsidR="00A76056" w:rsidRPr="00183143">
        <w:t xml:space="preserve"> following an </w:t>
      </w:r>
      <w:r w:rsidR="00DD796A" w:rsidRPr="00183143">
        <w:t>eight-year</w:t>
      </w:r>
      <w:r w:rsidR="00A76056" w:rsidRPr="00183143">
        <w:t xml:space="preserve"> project, the </w:t>
      </w:r>
      <w:r w:rsidR="00DD796A" w:rsidRPr="00183143">
        <w:t>Research</w:t>
      </w:r>
      <w:r w:rsidR="00A76056" w:rsidRPr="00183143">
        <w:t xml:space="preserve"> Action Alliance on the Consequences of Work Injury (RAACWI)</w:t>
      </w:r>
      <w:r w:rsidR="000E068F">
        <w:rPr>
          <w:rStyle w:val="FootnoteReference"/>
        </w:rPr>
        <w:footnoteReference w:id="1"/>
      </w:r>
      <w:r w:rsidR="00DD796A" w:rsidRPr="00183143">
        <w:t>.</w:t>
      </w:r>
      <w:r w:rsidRPr="00183143">
        <w:t xml:space="preserve"> </w:t>
      </w:r>
      <w:r w:rsidR="00DD796A" w:rsidRPr="00183143">
        <w:t xml:space="preserve">The RAC </w:t>
      </w:r>
      <w:r w:rsidRPr="00183143">
        <w:t>has been an active participant in workers’ compensation research</w:t>
      </w:r>
      <w:r w:rsidR="00CC5B38" w:rsidRPr="00183143">
        <w:t>,</w:t>
      </w:r>
      <w:r w:rsidRPr="00183143">
        <w:t xml:space="preserve"> policy</w:t>
      </w:r>
      <w:r w:rsidR="00CC5B38" w:rsidRPr="00183143">
        <w:t>,</w:t>
      </w:r>
      <w:r w:rsidRPr="00183143">
        <w:t xml:space="preserve"> and administration d</w:t>
      </w:r>
      <w:r w:rsidR="00CC5B38" w:rsidRPr="00183143">
        <w:t>iscussions</w:t>
      </w:r>
      <w:r w:rsidRPr="00183143">
        <w:t xml:space="preserve">. </w:t>
      </w:r>
    </w:p>
    <w:p w14:paraId="3652FC5C" w14:textId="39B3F3E8" w:rsidR="000E068F" w:rsidRPr="000E068F" w:rsidRDefault="006D36B8" w:rsidP="000E068F">
      <w:pPr>
        <w:pStyle w:val="ListParagraph"/>
        <w:numPr>
          <w:ilvl w:val="0"/>
          <w:numId w:val="12"/>
        </w:numPr>
        <w:rPr>
          <w:sz w:val="24"/>
          <w:szCs w:val="24"/>
        </w:rPr>
      </w:pPr>
      <w:r w:rsidRPr="000E068F">
        <w:rPr>
          <w:sz w:val="24"/>
          <w:szCs w:val="24"/>
        </w:rPr>
        <w:t>The workers compensation system works well for maybe 80% of workers who file a claim for a workplace injury or illness.  For those workers with serious injuries or diseases, that end up with a life-long impairment or disability, the system often fails them.</w:t>
      </w:r>
      <w:r w:rsidR="000E068F" w:rsidRPr="000E068F">
        <w:rPr>
          <w:sz w:val="24"/>
          <w:szCs w:val="24"/>
        </w:rPr>
        <w:t xml:space="preserve">  We need to better understand the system factors that influence long term outcomes for workers with serious, life altering injuries or diseases in order to improve the system for everyone.</w:t>
      </w:r>
    </w:p>
    <w:p w14:paraId="6F449321" w14:textId="28A82705" w:rsidR="006D36B8" w:rsidRDefault="006D36B8" w:rsidP="000E068F">
      <w:pPr>
        <w:pStyle w:val="ListParagraph"/>
        <w:ind w:left="1080"/>
        <w:rPr>
          <w:sz w:val="24"/>
          <w:szCs w:val="24"/>
        </w:rPr>
      </w:pPr>
    </w:p>
    <w:p w14:paraId="03A5F934" w14:textId="77777777" w:rsidR="006D36B8" w:rsidRDefault="006D36B8" w:rsidP="006D36B8">
      <w:pPr>
        <w:rPr>
          <w:sz w:val="24"/>
          <w:szCs w:val="24"/>
        </w:rPr>
      </w:pPr>
    </w:p>
    <w:p w14:paraId="198FDC59" w14:textId="69559B48" w:rsidR="00305395" w:rsidRDefault="00305395" w:rsidP="00305395">
      <w:pPr>
        <w:rPr>
          <w:sz w:val="24"/>
          <w:szCs w:val="24"/>
          <w:lang w:val="en-CA"/>
        </w:rPr>
      </w:pPr>
      <w:r>
        <w:rPr>
          <w:sz w:val="24"/>
          <w:szCs w:val="24"/>
        </w:rPr>
        <w:t xml:space="preserve">Workers </w:t>
      </w:r>
      <w:r w:rsidRPr="00736416">
        <w:rPr>
          <w:sz w:val="24"/>
          <w:szCs w:val="24"/>
          <w:lang w:val="en-CA"/>
        </w:rPr>
        <w:t xml:space="preserve">Compensation was first started in Canada in 1915 in Ontario. It was crafted by Sir William Meredith who led a </w:t>
      </w:r>
      <w:r w:rsidR="000E068F">
        <w:rPr>
          <w:sz w:val="24"/>
          <w:szCs w:val="24"/>
          <w:lang w:val="en-CA"/>
        </w:rPr>
        <w:t>R</w:t>
      </w:r>
      <w:r w:rsidRPr="00736416">
        <w:rPr>
          <w:sz w:val="24"/>
          <w:szCs w:val="24"/>
          <w:lang w:val="en-CA"/>
        </w:rPr>
        <w:t>oyal Commission looking into the issues and tabled his final report in 1913</w:t>
      </w:r>
      <w:r>
        <w:rPr>
          <w:rStyle w:val="FootnoteReference"/>
          <w:sz w:val="24"/>
          <w:szCs w:val="24"/>
          <w:lang w:val="en-CA"/>
        </w:rPr>
        <w:footnoteReference w:id="2"/>
      </w:r>
      <w:r>
        <w:rPr>
          <w:sz w:val="24"/>
          <w:szCs w:val="24"/>
          <w:lang w:val="en-CA"/>
        </w:rPr>
        <w:t>.</w:t>
      </w:r>
    </w:p>
    <w:p w14:paraId="3F050398" w14:textId="77777777" w:rsidR="00305395" w:rsidRDefault="00305395" w:rsidP="00305395">
      <w:pPr>
        <w:rPr>
          <w:sz w:val="24"/>
          <w:szCs w:val="24"/>
          <w:lang w:val="en-CA"/>
        </w:rPr>
      </w:pPr>
    </w:p>
    <w:p w14:paraId="3E67C013" w14:textId="77777777" w:rsidR="00305395" w:rsidRDefault="00305395" w:rsidP="00305395">
      <w:pPr>
        <w:rPr>
          <w:sz w:val="24"/>
          <w:szCs w:val="24"/>
          <w:lang w:val="en-CA"/>
        </w:rPr>
      </w:pPr>
      <w:r w:rsidRPr="00736416">
        <w:rPr>
          <w:sz w:val="24"/>
          <w:szCs w:val="24"/>
          <w:lang w:val="en-CA"/>
        </w:rPr>
        <w:t>The principles that were the foundation of the system were</w:t>
      </w:r>
      <w:r>
        <w:rPr>
          <w:sz w:val="24"/>
          <w:szCs w:val="24"/>
          <w:lang w:val="en-CA"/>
        </w:rPr>
        <w:t>;</w:t>
      </w:r>
    </w:p>
    <w:p w14:paraId="2D407B49" w14:textId="77777777" w:rsidR="00305395" w:rsidRPr="00305395" w:rsidRDefault="00305395" w:rsidP="00305395">
      <w:pPr>
        <w:pStyle w:val="ListParagraph"/>
        <w:numPr>
          <w:ilvl w:val="0"/>
          <w:numId w:val="11"/>
        </w:numPr>
        <w:rPr>
          <w:b/>
          <w:bCs/>
          <w:sz w:val="24"/>
          <w:szCs w:val="24"/>
          <w:lang w:val="en-CA"/>
        </w:rPr>
      </w:pPr>
      <w:r w:rsidRPr="00305395">
        <w:rPr>
          <w:b/>
          <w:bCs/>
          <w:sz w:val="24"/>
          <w:szCs w:val="24"/>
        </w:rPr>
        <w:t>Compensation as long as disability lasts</w:t>
      </w:r>
    </w:p>
    <w:p w14:paraId="1DC665F4" w14:textId="77777777" w:rsidR="00305395" w:rsidRPr="00305395" w:rsidRDefault="00305395" w:rsidP="00305395">
      <w:pPr>
        <w:pStyle w:val="ListParagraph"/>
        <w:numPr>
          <w:ilvl w:val="0"/>
          <w:numId w:val="11"/>
        </w:numPr>
        <w:rPr>
          <w:b/>
          <w:bCs/>
          <w:sz w:val="24"/>
          <w:szCs w:val="24"/>
          <w:lang w:val="en-CA"/>
        </w:rPr>
      </w:pPr>
      <w:r w:rsidRPr="00305395">
        <w:rPr>
          <w:b/>
          <w:bCs/>
          <w:sz w:val="24"/>
          <w:szCs w:val="24"/>
        </w:rPr>
        <w:t>Collective Liability / Employer pays</w:t>
      </w:r>
    </w:p>
    <w:p w14:paraId="5F421196" w14:textId="77777777" w:rsidR="00305395" w:rsidRPr="00305395" w:rsidRDefault="00305395" w:rsidP="00305395">
      <w:pPr>
        <w:pStyle w:val="ListParagraph"/>
        <w:numPr>
          <w:ilvl w:val="0"/>
          <w:numId w:val="11"/>
        </w:numPr>
        <w:rPr>
          <w:b/>
          <w:bCs/>
          <w:sz w:val="24"/>
          <w:szCs w:val="24"/>
          <w:lang w:val="en-CA"/>
        </w:rPr>
      </w:pPr>
      <w:r w:rsidRPr="00305395">
        <w:rPr>
          <w:b/>
          <w:bCs/>
          <w:sz w:val="24"/>
          <w:szCs w:val="24"/>
        </w:rPr>
        <w:lastRenderedPageBreak/>
        <w:t>No fault</w:t>
      </w:r>
    </w:p>
    <w:p w14:paraId="04A9A06E" w14:textId="77777777" w:rsidR="00305395" w:rsidRPr="00305395" w:rsidRDefault="00305395" w:rsidP="00305395">
      <w:pPr>
        <w:pStyle w:val="ListParagraph"/>
        <w:numPr>
          <w:ilvl w:val="0"/>
          <w:numId w:val="11"/>
        </w:numPr>
        <w:rPr>
          <w:b/>
          <w:bCs/>
          <w:sz w:val="24"/>
          <w:szCs w:val="24"/>
          <w:lang w:val="en-CA"/>
        </w:rPr>
      </w:pPr>
      <w:r w:rsidRPr="00305395">
        <w:rPr>
          <w:b/>
          <w:bCs/>
          <w:sz w:val="24"/>
          <w:szCs w:val="24"/>
        </w:rPr>
        <w:t>Independent Agency</w:t>
      </w:r>
    </w:p>
    <w:p w14:paraId="7A7C55E1" w14:textId="77777777" w:rsidR="00305395" w:rsidRPr="00305395" w:rsidRDefault="00305395" w:rsidP="00305395">
      <w:pPr>
        <w:pStyle w:val="ListParagraph"/>
        <w:numPr>
          <w:ilvl w:val="0"/>
          <w:numId w:val="11"/>
        </w:numPr>
        <w:rPr>
          <w:b/>
          <w:bCs/>
          <w:sz w:val="24"/>
          <w:szCs w:val="24"/>
          <w:lang w:val="en-CA"/>
        </w:rPr>
      </w:pPr>
      <w:r w:rsidRPr="00305395">
        <w:rPr>
          <w:b/>
          <w:bCs/>
          <w:sz w:val="24"/>
          <w:szCs w:val="24"/>
        </w:rPr>
        <w:t>Non-adversarial</w:t>
      </w:r>
    </w:p>
    <w:p w14:paraId="0F51F924" w14:textId="77777777" w:rsidR="00305395" w:rsidRDefault="00305395" w:rsidP="006D36B8">
      <w:pPr>
        <w:rPr>
          <w:sz w:val="24"/>
          <w:szCs w:val="24"/>
          <w:lang w:val="en-CA"/>
        </w:rPr>
      </w:pPr>
    </w:p>
    <w:p w14:paraId="3530C1F4" w14:textId="54B0CD96" w:rsidR="00305395" w:rsidRDefault="00305395" w:rsidP="006D36B8">
      <w:pPr>
        <w:rPr>
          <w:sz w:val="24"/>
          <w:szCs w:val="24"/>
          <w:lang w:val="en-CA"/>
        </w:rPr>
      </w:pPr>
      <w:r w:rsidRPr="00305395">
        <w:rPr>
          <w:sz w:val="24"/>
          <w:szCs w:val="24"/>
          <w:lang w:val="en-CA"/>
        </w:rPr>
        <w:t>These founding principles have been</w:t>
      </w:r>
      <w:r>
        <w:rPr>
          <w:sz w:val="24"/>
          <w:szCs w:val="24"/>
          <w:lang w:val="en-CA"/>
        </w:rPr>
        <w:t xml:space="preserve"> s</w:t>
      </w:r>
      <w:r w:rsidRPr="00305395">
        <w:rPr>
          <w:sz w:val="24"/>
          <w:szCs w:val="24"/>
          <w:lang w:val="en-CA"/>
        </w:rPr>
        <w:t>et aside in the move to reduce costs to employers and corporations</w:t>
      </w:r>
      <w:r>
        <w:rPr>
          <w:sz w:val="24"/>
          <w:szCs w:val="24"/>
          <w:lang w:val="en-CA"/>
        </w:rPr>
        <w:t xml:space="preserve">.  </w:t>
      </w:r>
      <w:r w:rsidR="003029C7">
        <w:rPr>
          <w:sz w:val="24"/>
          <w:szCs w:val="24"/>
          <w:lang w:val="en-CA"/>
        </w:rPr>
        <w:t xml:space="preserve">At last count, according to the WSIB, </w:t>
      </w:r>
      <w:r w:rsidR="00864C5E">
        <w:rPr>
          <w:sz w:val="24"/>
          <w:szCs w:val="24"/>
          <w:lang w:val="en-CA"/>
        </w:rPr>
        <w:t>employers have received $21.5 Billion in premium reductions and direct rebates since 2017.</w:t>
      </w:r>
    </w:p>
    <w:p w14:paraId="6F2DB67E" w14:textId="77777777" w:rsidR="00305395" w:rsidRDefault="00305395" w:rsidP="00305395">
      <w:pPr>
        <w:rPr>
          <w:b/>
          <w:bCs/>
          <w:sz w:val="24"/>
          <w:szCs w:val="24"/>
        </w:rPr>
      </w:pPr>
    </w:p>
    <w:p w14:paraId="1C2559B3" w14:textId="7AAD8E01" w:rsidR="00305395" w:rsidRPr="00305395" w:rsidRDefault="00305395" w:rsidP="00305395">
      <w:pPr>
        <w:rPr>
          <w:b/>
          <w:bCs/>
          <w:sz w:val="24"/>
          <w:szCs w:val="24"/>
          <w:lang w:val="en-CA"/>
        </w:rPr>
      </w:pPr>
      <w:r w:rsidRPr="00305395">
        <w:rPr>
          <w:b/>
          <w:bCs/>
          <w:sz w:val="24"/>
          <w:szCs w:val="24"/>
        </w:rPr>
        <w:t>Compensation as long as disability lasts</w:t>
      </w:r>
    </w:p>
    <w:p w14:paraId="12C1494A" w14:textId="77777777" w:rsidR="00305395" w:rsidRDefault="00305395" w:rsidP="006D36B8">
      <w:pPr>
        <w:rPr>
          <w:sz w:val="24"/>
          <w:szCs w:val="24"/>
          <w:lang w:val="en-CA"/>
        </w:rPr>
      </w:pPr>
    </w:p>
    <w:p w14:paraId="3E1661C4" w14:textId="12419CBB" w:rsidR="00305395" w:rsidRDefault="00305395" w:rsidP="006D36B8">
      <w:pPr>
        <w:rPr>
          <w:sz w:val="24"/>
          <w:szCs w:val="24"/>
          <w:lang w:val="en-CA"/>
        </w:rPr>
      </w:pPr>
      <w:r w:rsidRPr="00305395">
        <w:rPr>
          <w:sz w:val="24"/>
          <w:szCs w:val="24"/>
          <w:lang w:val="en-CA"/>
        </w:rPr>
        <w:t xml:space="preserve">Very few workers receive compensation as long as the disability lasts, and for those that are able to receive financial aid </w:t>
      </w:r>
      <w:r>
        <w:rPr>
          <w:sz w:val="24"/>
          <w:szCs w:val="24"/>
          <w:lang w:val="en-CA"/>
        </w:rPr>
        <w:t xml:space="preserve">long term, </w:t>
      </w:r>
      <w:r w:rsidRPr="00305395">
        <w:rPr>
          <w:sz w:val="24"/>
          <w:szCs w:val="24"/>
          <w:lang w:val="en-CA"/>
        </w:rPr>
        <w:t>that</w:t>
      </w:r>
      <w:r>
        <w:rPr>
          <w:sz w:val="24"/>
          <w:szCs w:val="24"/>
          <w:lang w:val="en-CA"/>
        </w:rPr>
        <w:t xml:space="preserve"> is</w:t>
      </w:r>
      <w:r w:rsidRPr="00305395">
        <w:rPr>
          <w:sz w:val="24"/>
          <w:szCs w:val="24"/>
          <w:lang w:val="en-CA"/>
        </w:rPr>
        <w:t xml:space="preserve"> </w:t>
      </w:r>
      <w:r>
        <w:rPr>
          <w:sz w:val="24"/>
          <w:szCs w:val="24"/>
          <w:lang w:val="en-CA"/>
        </w:rPr>
        <w:t>eli</w:t>
      </w:r>
      <w:r w:rsidRPr="00305395">
        <w:rPr>
          <w:sz w:val="24"/>
          <w:szCs w:val="24"/>
          <w:lang w:val="en-CA"/>
        </w:rPr>
        <w:t xml:space="preserve">minated at the age of </w:t>
      </w:r>
      <w:r>
        <w:rPr>
          <w:sz w:val="24"/>
          <w:szCs w:val="24"/>
          <w:lang w:val="en-CA"/>
        </w:rPr>
        <w:t>65.</w:t>
      </w:r>
      <w:r w:rsidR="000E068F">
        <w:rPr>
          <w:rStyle w:val="FootnoteReference"/>
          <w:sz w:val="24"/>
          <w:szCs w:val="24"/>
          <w:lang w:val="en-CA"/>
        </w:rPr>
        <w:footnoteReference w:id="3"/>
      </w:r>
    </w:p>
    <w:p w14:paraId="0BEF94B4" w14:textId="77777777" w:rsidR="0018313F" w:rsidRPr="006D36B8" w:rsidRDefault="0018313F" w:rsidP="006D36B8">
      <w:pPr>
        <w:rPr>
          <w:sz w:val="24"/>
          <w:szCs w:val="24"/>
        </w:rPr>
      </w:pPr>
    </w:p>
    <w:p w14:paraId="396E0103" w14:textId="693BD732" w:rsidR="0018313F" w:rsidRPr="0018313F" w:rsidRDefault="0018313F" w:rsidP="0018313F">
      <w:pPr>
        <w:rPr>
          <w:sz w:val="24"/>
          <w:szCs w:val="24"/>
        </w:rPr>
      </w:pPr>
      <w:r w:rsidRPr="0018313F">
        <w:rPr>
          <w:sz w:val="24"/>
          <w:szCs w:val="24"/>
        </w:rPr>
        <w:t>The mandatory retirement age of 65 was struck down in 2006 as discriminatory.</w:t>
      </w:r>
      <w:r w:rsidR="00736416">
        <w:rPr>
          <w:sz w:val="24"/>
          <w:szCs w:val="24"/>
        </w:rPr>
        <w:t xml:space="preserve">  </w:t>
      </w:r>
      <w:r w:rsidRPr="0018313F">
        <w:rPr>
          <w:sz w:val="24"/>
          <w:szCs w:val="24"/>
        </w:rPr>
        <w:t>The realities of the economy have shifted.  Many people continue to work past age 65 by choice or by necessity.  This steadily increasing trend will likely continue due to the recent unprecedented cost-of-living increases.</w:t>
      </w:r>
      <w:r w:rsidR="00736416">
        <w:rPr>
          <w:rStyle w:val="FootnoteReference"/>
          <w:sz w:val="24"/>
          <w:szCs w:val="24"/>
        </w:rPr>
        <w:footnoteReference w:id="4"/>
      </w:r>
      <w:r w:rsidRPr="0018313F">
        <w:rPr>
          <w:sz w:val="24"/>
          <w:szCs w:val="24"/>
        </w:rPr>
        <w:t xml:space="preserve"> </w:t>
      </w:r>
      <w:r w:rsidR="008A44CF">
        <w:rPr>
          <w:rStyle w:val="FootnoteReference"/>
          <w:sz w:val="24"/>
          <w:szCs w:val="24"/>
        </w:rPr>
        <w:footnoteReference w:id="5"/>
      </w:r>
    </w:p>
    <w:p w14:paraId="4C2997A5" w14:textId="77777777" w:rsidR="0018313F" w:rsidRPr="0018313F" w:rsidRDefault="0018313F" w:rsidP="0018313F">
      <w:pPr>
        <w:rPr>
          <w:sz w:val="24"/>
          <w:szCs w:val="24"/>
        </w:rPr>
      </w:pPr>
    </w:p>
    <w:p w14:paraId="72AB80AF" w14:textId="702C1B06" w:rsidR="0018313F" w:rsidRPr="0018313F" w:rsidRDefault="0018313F" w:rsidP="0018313F">
      <w:pPr>
        <w:rPr>
          <w:sz w:val="24"/>
          <w:szCs w:val="24"/>
        </w:rPr>
      </w:pPr>
      <w:r w:rsidRPr="0018313F">
        <w:rPr>
          <w:sz w:val="24"/>
          <w:szCs w:val="24"/>
        </w:rPr>
        <w:t xml:space="preserve">Most workers make their financial planning decisions – mortgages, loans, kids’ education costs, bills </w:t>
      </w:r>
      <w:r w:rsidR="00593B66" w:rsidRPr="0018313F">
        <w:rPr>
          <w:sz w:val="24"/>
          <w:szCs w:val="24"/>
        </w:rPr>
        <w:t>etc.</w:t>
      </w:r>
      <w:r w:rsidRPr="0018313F">
        <w:rPr>
          <w:sz w:val="24"/>
          <w:szCs w:val="24"/>
        </w:rPr>
        <w:t xml:space="preserve"> - based on, in part, how long they intend to work. Many workers are living </w:t>
      </w:r>
      <w:proofErr w:type="spellStart"/>
      <w:r w:rsidRPr="0018313F">
        <w:rPr>
          <w:sz w:val="24"/>
          <w:szCs w:val="24"/>
        </w:rPr>
        <w:t>paycheque</w:t>
      </w:r>
      <w:proofErr w:type="spellEnd"/>
      <w:r w:rsidRPr="0018313F">
        <w:rPr>
          <w:sz w:val="24"/>
          <w:szCs w:val="24"/>
        </w:rPr>
        <w:t xml:space="preserve"> to </w:t>
      </w:r>
      <w:proofErr w:type="spellStart"/>
      <w:r w:rsidRPr="0018313F">
        <w:rPr>
          <w:sz w:val="24"/>
          <w:szCs w:val="24"/>
        </w:rPr>
        <w:t>paycheque</w:t>
      </w:r>
      <w:proofErr w:type="spellEnd"/>
      <w:r w:rsidRPr="0018313F">
        <w:rPr>
          <w:sz w:val="24"/>
          <w:szCs w:val="24"/>
        </w:rPr>
        <w:t xml:space="preserve">. No one expects to get hurt at work, let alone to be hurt badly enough to be unable to work or to end up with a permanent injury and restrictions.   Few </w:t>
      </w:r>
      <w:r w:rsidR="00736416" w:rsidRPr="0018313F">
        <w:rPr>
          <w:sz w:val="24"/>
          <w:szCs w:val="24"/>
        </w:rPr>
        <w:t>thinks</w:t>
      </w:r>
      <w:r w:rsidRPr="0018313F">
        <w:rPr>
          <w:sz w:val="24"/>
          <w:szCs w:val="24"/>
        </w:rPr>
        <w:t xml:space="preserve"> about the immediate financial crunch that will happen if they are injured at work.  Fewer still understand the limitations on wage loss benefits that they will face because of the age 65 restrictions in the W</w:t>
      </w:r>
      <w:r w:rsidR="00736416">
        <w:rPr>
          <w:sz w:val="24"/>
          <w:szCs w:val="24"/>
        </w:rPr>
        <w:t>C</w:t>
      </w:r>
      <w:r w:rsidRPr="0018313F">
        <w:rPr>
          <w:sz w:val="24"/>
          <w:szCs w:val="24"/>
        </w:rPr>
        <w:t xml:space="preserve"> legislation.</w:t>
      </w:r>
    </w:p>
    <w:p w14:paraId="3874C16C" w14:textId="77777777" w:rsidR="0018313F" w:rsidRPr="0018313F" w:rsidRDefault="0018313F" w:rsidP="0018313F">
      <w:pPr>
        <w:rPr>
          <w:sz w:val="24"/>
          <w:szCs w:val="24"/>
        </w:rPr>
      </w:pPr>
    </w:p>
    <w:p w14:paraId="722D0BD9" w14:textId="77777777" w:rsidR="0018313F" w:rsidRPr="0018313F" w:rsidRDefault="0018313F" w:rsidP="0018313F">
      <w:pPr>
        <w:rPr>
          <w:sz w:val="24"/>
          <w:szCs w:val="24"/>
        </w:rPr>
      </w:pPr>
      <w:r w:rsidRPr="0018313F">
        <w:rPr>
          <w:sz w:val="24"/>
          <w:szCs w:val="24"/>
        </w:rPr>
        <w:t xml:space="preserve">There has been a significant increase in the number of older workers injured in the workplace.   A workplace injury can leave them destitute in their “golden” years because of the legislated age discrimination.  </w:t>
      </w:r>
    </w:p>
    <w:p w14:paraId="452C65D7" w14:textId="77777777" w:rsidR="0018313F" w:rsidRPr="0018313F" w:rsidRDefault="0018313F" w:rsidP="0018313F">
      <w:pPr>
        <w:rPr>
          <w:sz w:val="24"/>
          <w:szCs w:val="24"/>
        </w:rPr>
      </w:pPr>
    </w:p>
    <w:p w14:paraId="534BB30F" w14:textId="77777777" w:rsidR="0018313F" w:rsidRPr="0018313F" w:rsidRDefault="0018313F" w:rsidP="0018313F">
      <w:pPr>
        <w:rPr>
          <w:sz w:val="24"/>
          <w:szCs w:val="24"/>
        </w:rPr>
      </w:pPr>
      <w:r w:rsidRPr="0018313F">
        <w:rPr>
          <w:sz w:val="24"/>
          <w:szCs w:val="24"/>
        </w:rPr>
        <w:t xml:space="preserve">Other provinces amended their legislation to allow wage loss benefits past age 65.  Workers in BC and Alberta can get wage loss benefits past age 65 if there is evidence that they planned to retire at a later date.  </w:t>
      </w:r>
    </w:p>
    <w:p w14:paraId="1A212B01" w14:textId="77777777" w:rsidR="0018313F" w:rsidRPr="0018313F" w:rsidRDefault="0018313F" w:rsidP="0018313F">
      <w:pPr>
        <w:rPr>
          <w:sz w:val="24"/>
          <w:szCs w:val="24"/>
        </w:rPr>
      </w:pPr>
    </w:p>
    <w:p w14:paraId="057B9611" w14:textId="5560CECF" w:rsidR="0018313F" w:rsidRDefault="00593B66" w:rsidP="0018313F">
      <w:pPr>
        <w:rPr>
          <w:sz w:val="24"/>
          <w:szCs w:val="24"/>
        </w:rPr>
      </w:pPr>
      <w:r w:rsidRPr="00183143">
        <w:rPr>
          <w:b/>
          <w:bCs/>
          <w:color w:val="000000" w:themeColor="text1"/>
          <w:sz w:val="24"/>
          <w:szCs w:val="24"/>
        </w:rPr>
        <w:t>Recommendation #</w:t>
      </w:r>
      <w:r>
        <w:rPr>
          <w:b/>
          <w:bCs/>
          <w:color w:val="000000" w:themeColor="text1"/>
          <w:sz w:val="24"/>
          <w:szCs w:val="24"/>
        </w:rPr>
        <w:t>1</w:t>
      </w:r>
      <w:r w:rsidRPr="00183143">
        <w:rPr>
          <w:b/>
          <w:bCs/>
          <w:sz w:val="24"/>
          <w:szCs w:val="24"/>
        </w:rPr>
        <w:t xml:space="preserve"> </w:t>
      </w:r>
      <w:r w:rsidR="00864C5E">
        <w:rPr>
          <w:sz w:val="24"/>
          <w:szCs w:val="24"/>
        </w:rPr>
        <w:t>–</w:t>
      </w:r>
      <w:r w:rsidRPr="00183143">
        <w:rPr>
          <w:sz w:val="24"/>
          <w:szCs w:val="24"/>
        </w:rPr>
        <w:t xml:space="preserve"> </w:t>
      </w:r>
      <w:r w:rsidR="00864C5E">
        <w:rPr>
          <w:b/>
          <w:bCs/>
          <w:sz w:val="24"/>
          <w:szCs w:val="24"/>
        </w:rPr>
        <w:t xml:space="preserve">Ontario’s proposed changes in Bill 105 to address this age discrimination fall short.  We recommend that </w:t>
      </w:r>
      <w:r w:rsidR="0018313F" w:rsidRPr="00593B66">
        <w:rPr>
          <w:b/>
          <w:bCs/>
          <w:sz w:val="24"/>
          <w:szCs w:val="24"/>
        </w:rPr>
        <w:t>W</w:t>
      </w:r>
      <w:r w:rsidR="00864C5E">
        <w:rPr>
          <w:b/>
          <w:bCs/>
          <w:sz w:val="24"/>
          <w:szCs w:val="24"/>
        </w:rPr>
        <w:t>SIB</w:t>
      </w:r>
      <w:r w:rsidR="0018313F" w:rsidRPr="00593B66">
        <w:rPr>
          <w:b/>
          <w:bCs/>
          <w:sz w:val="24"/>
          <w:szCs w:val="24"/>
        </w:rPr>
        <w:t xml:space="preserve"> wage loss benefits should be payable so long as the wage loss continues</w:t>
      </w:r>
      <w:r w:rsidR="00864C5E">
        <w:rPr>
          <w:b/>
          <w:bCs/>
          <w:sz w:val="24"/>
          <w:szCs w:val="24"/>
        </w:rPr>
        <w:t>, by maintaining benefits until age 70 and allow for benefits to continue past age 70  based on the individual workers intention to continue working</w:t>
      </w:r>
      <w:r w:rsidR="0018313F" w:rsidRPr="00593B66">
        <w:rPr>
          <w:b/>
          <w:bCs/>
          <w:sz w:val="24"/>
          <w:szCs w:val="24"/>
        </w:rPr>
        <w:t>.</w:t>
      </w:r>
    </w:p>
    <w:p w14:paraId="7162A15B" w14:textId="77777777" w:rsidR="00736416" w:rsidRDefault="00736416" w:rsidP="0018313F">
      <w:pPr>
        <w:rPr>
          <w:sz w:val="24"/>
          <w:szCs w:val="24"/>
        </w:rPr>
      </w:pPr>
    </w:p>
    <w:p w14:paraId="05DC26A8" w14:textId="77777777" w:rsidR="00305395" w:rsidRPr="00305395" w:rsidRDefault="00305395" w:rsidP="00305395">
      <w:pPr>
        <w:rPr>
          <w:b/>
          <w:bCs/>
          <w:sz w:val="24"/>
          <w:szCs w:val="24"/>
          <w:lang w:val="en-CA"/>
        </w:rPr>
      </w:pPr>
      <w:r w:rsidRPr="00305395">
        <w:rPr>
          <w:b/>
          <w:bCs/>
          <w:sz w:val="24"/>
          <w:szCs w:val="24"/>
        </w:rPr>
        <w:t>Collective Liability / Employer pays</w:t>
      </w:r>
    </w:p>
    <w:p w14:paraId="3EA98764" w14:textId="77777777" w:rsidR="00305395" w:rsidRDefault="00305395" w:rsidP="00305395">
      <w:pPr>
        <w:rPr>
          <w:sz w:val="24"/>
          <w:szCs w:val="24"/>
          <w:lang w:val="en-CA"/>
        </w:rPr>
      </w:pPr>
    </w:p>
    <w:p w14:paraId="7853FF67" w14:textId="7F3703DC" w:rsidR="00593B66" w:rsidRDefault="00305395" w:rsidP="00305395">
      <w:pPr>
        <w:rPr>
          <w:sz w:val="24"/>
          <w:szCs w:val="24"/>
          <w:lang w:val="en-CA"/>
        </w:rPr>
      </w:pPr>
      <w:r w:rsidRPr="00305395">
        <w:rPr>
          <w:sz w:val="24"/>
          <w:szCs w:val="24"/>
          <w:lang w:val="en-CA"/>
        </w:rPr>
        <w:lastRenderedPageBreak/>
        <w:t>With the introduction</w:t>
      </w:r>
      <w:r w:rsidR="005979E6" w:rsidRPr="005979E6">
        <w:rPr>
          <w:sz w:val="24"/>
          <w:szCs w:val="24"/>
          <w:lang w:val="en-CA"/>
        </w:rPr>
        <w:t xml:space="preserve"> of experience rating in the 1980s and 90s</w:t>
      </w:r>
      <w:r w:rsidR="005979E6">
        <w:rPr>
          <w:sz w:val="24"/>
          <w:szCs w:val="24"/>
          <w:lang w:val="en-CA"/>
        </w:rPr>
        <w:t>,</w:t>
      </w:r>
      <w:r w:rsidR="005979E6" w:rsidRPr="005979E6">
        <w:rPr>
          <w:sz w:val="24"/>
          <w:szCs w:val="24"/>
          <w:lang w:val="en-CA"/>
        </w:rPr>
        <w:t xml:space="preserve"> the principle of collective liability has been transformed to a focus on individual liability for each employer covered by workers compensation.</w:t>
      </w:r>
      <w:r w:rsidR="005979E6">
        <w:rPr>
          <w:sz w:val="24"/>
          <w:szCs w:val="24"/>
          <w:lang w:val="en-CA"/>
        </w:rPr>
        <w:t xml:space="preserve">  </w:t>
      </w:r>
      <w:r w:rsidR="005979E6" w:rsidRPr="005979E6">
        <w:rPr>
          <w:sz w:val="24"/>
          <w:szCs w:val="24"/>
          <w:lang w:val="en-CA"/>
        </w:rPr>
        <w:t xml:space="preserve">As Marion Endicott </w:t>
      </w:r>
      <w:r w:rsidR="005979E6">
        <w:rPr>
          <w:sz w:val="24"/>
          <w:szCs w:val="24"/>
          <w:lang w:val="en-CA"/>
        </w:rPr>
        <w:t>w</w:t>
      </w:r>
      <w:r w:rsidR="005979E6" w:rsidRPr="005979E6">
        <w:rPr>
          <w:sz w:val="24"/>
          <w:szCs w:val="24"/>
          <w:lang w:val="en-CA"/>
        </w:rPr>
        <w:t>rit</w:t>
      </w:r>
      <w:r w:rsidR="005979E6">
        <w:rPr>
          <w:sz w:val="24"/>
          <w:szCs w:val="24"/>
          <w:lang w:val="en-CA"/>
        </w:rPr>
        <w:t>es</w:t>
      </w:r>
      <w:r w:rsidR="005979E6" w:rsidRPr="005979E6">
        <w:rPr>
          <w:sz w:val="24"/>
          <w:szCs w:val="24"/>
          <w:lang w:val="en-CA"/>
        </w:rPr>
        <w:t xml:space="preserve"> in </w:t>
      </w:r>
      <w:r w:rsidR="005979E6">
        <w:rPr>
          <w:sz w:val="24"/>
          <w:szCs w:val="24"/>
          <w:lang w:val="en-CA"/>
        </w:rPr>
        <w:t>N</w:t>
      </w:r>
      <w:r w:rsidR="005979E6" w:rsidRPr="005979E6">
        <w:rPr>
          <w:sz w:val="24"/>
          <w:szCs w:val="24"/>
          <w:lang w:val="en-CA"/>
        </w:rPr>
        <w:t xml:space="preserve">ew </w:t>
      </w:r>
      <w:r w:rsidR="005979E6">
        <w:rPr>
          <w:sz w:val="24"/>
          <w:szCs w:val="24"/>
          <w:lang w:val="en-CA"/>
        </w:rPr>
        <w:t>S</w:t>
      </w:r>
      <w:r w:rsidR="005979E6" w:rsidRPr="005979E6">
        <w:rPr>
          <w:sz w:val="24"/>
          <w:szCs w:val="24"/>
          <w:lang w:val="en-CA"/>
        </w:rPr>
        <w:t>olutions</w:t>
      </w:r>
      <w:r w:rsidR="005979E6">
        <w:rPr>
          <w:sz w:val="24"/>
          <w:szCs w:val="24"/>
          <w:lang w:val="en-CA"/>
        </w:rPr>
        <w:t>:</w:t>
      </w:r>
      <w:r w:rsidR="005979E6" w:rsidRPr="005979E6">
        <w:rPr>
          <w:sz w:val="24"/>
          <w:szCs w:val="24"/>
          <w:lang w:val="en-CA"/>
        </w:rPr>
        <w:t xml:space="preserve"> </w:t>
      </w:r>
      <w:r w:rsidR="005979E6">
        <w:rPr>
          <w:sz w:val="24"/>
          <w:szCs w:val="24"/>
          <w:lang w:val="en-CA"/>
        </w:rPr>
        <w:t>A</w:t>
      </w:r>
      <w:r w:rsidR="005979E6" w:rsidRPr="005979E6">
        <w:rPr>
          <w:sz w:val="24"/>
          <w:szCs w:val="24"/>
          <w:lang w:val="en-CA"/>
        </w:rPr>
        <w:t xml:space="preserve"> </w:t>
      </w:r>
      <w:r w:rsidR="005979E6">
        <w:rPr>
          <w:sz w:val="24"/>
          <w:szCs w:val="24"/>
          <w:lang w:val="en-CA"/>
        </w:rPr>
        <w:t>J</w:t>
      </w:r>
      <w:r w:rsidR="005979E6" w:rsidRPr="005979E6">
        <w:rPr>
          <w:sz w:val="24"/>
          <w:szCs w:val="24"/>
          <w:lang w:val="en-CA"/>
        </w:rPr>
        <w:t xml:space="preserve">ournal of </w:t>
      </w:r>
      <w:r w:rsidR="005979E6">
        <w:rPr>
          <w:sz w:val="24"/>
          <w:szCs w:val="24"/>
          <w:lang w:val="en-CA"/>
        </w:rPr>
        <w:t>E</w:t>
      </w:r>
      <w:r w:rsidR="005979E6" w:rsidRPr="005979E6">
        <w:rPr>
          <w:sz w:val="24"/>
          <w:szCs w:val="24"/>
          <w:lang w:val="en-CA"/>
        </w:rPr>
        <w:t xml:space="preserve">nvironmental and </w:t>
      </w:r>
      <w:r w:rsidR="005979E6">
        <w:rPr>
          <w:sz w:val="24"/>
          <w:szCs w:val="24"/>
          <w:lang w:val="en-CA"/>
        </w:rPr>
        <w:t>O</w:t>
      </w:r>
      <w:r w:rsidR="005979E6" w:rsidRPr="005979E6">
        <w:rPr>
          <w:sz w:val="24"/>
          <w:szCs w:val="24"/>
          <w:lang w:val="en-CA"/>
        </w:rPr>
        <w:t xml:space="preserve">ccupational </w:t>
      </w:r>
      <w:r w:rsidR="005979E6">
        <w:rPr>
          <w:sz w:val="24"/>
          <w:szCs w:val="24"/>
          <w:lang w:val="en-CA"/>
        </w:rPr>
        <w:t>H</w:t>
      </w:r>
      <w:r w:rsidR="005979E6" w:rsidRPr="005979E6">
        <w:rPr>
          <w:sz w:val="24"/>
          <w:szCs w:val="24"/>
          <w:lang w:val="en-CA"/>
        </w:rPr>
        <w:t xml:space="preserve">ealth </w:t>
      </w:r>
      <w:r w:rsidR="005979E6">
        <w:rPr>
          <w:sz w:val="24"/>
          <w:szCs w:val="24"/>
          <w:lang w:val="en-CA"/>
        </w:rPr>
        <w:t>P</w:t>
      </w:r>
      <w:r w:rsidR="005979E6" w:rsidRPr="005979E6">
        <w:rPr>
          <w:sz w:val="24"/>
          <w:szCs w:val="24"/>
          <w:lang w:val="en-CA"/>
        </w:rPr>
        <w:t>olicy, experience r</w:t>
      </w:r>
      <w:r w:rsidR="006300F2">
        <w:rPr>
          <w:sz w:val="24"/>
          <w:szCs w:val="24"/>
          <w:lang w:val="en-CA"/>
        </w:rPr>
        <w:t>ating</w:t>
      </w:r>
      <w:r w:rsidR="005979E6" w:rsidRPr="005979E6">
        <w:rPr>
          <w:sz w:val="24"/>
          <w:szCs w:val="24"/>
          <w:lang w:val="en-CA"/>
        </w:rPr>
        <w:t xml:space="preserve"> has perverse outcomes.</w:t>
      </w:r>
      <w:r w:rsidR="005979E6">
        <w:rPr>
          <w:rStyle w:val="FootnoteReference"/>
          <w:sz w:val="24"/>
          <w:szCs w:val="24"/>
          <w:lang w:val="en-CA"/>
        </w:rPr>
        <w:footnoteReference w:id="6"/>
      </w:r>
      <w:r w:rsidR="005979E6">
        <w:rPr>
          <w:sz w:val="24"/>
          <w:szCs w:val="24"/>
          <w:lang w:val="en-CA"/>
        </w:rPr>
        <w:t xml:space="preserve">  </w:t>
      </w:r>
    </w:p>
    <w:p w14:paraId="69DE9E4E" w14:textId="77777777" w:rsidR="00593B66" w:rsidRDefault="00593B66" w:rsidP="00305395">
      <w:pPr>
        <w:rPr>
          <w:sz w:val="24"/>
          <w:szCs w:val="24"/>
          <w:lang w:val="en-CA"/>
        </w:rPr>
      </w:pPr>
    </w:p>
    <w:p w14:paraId="58426872" w14:textId="4F4669D0" w:rsidR="00305395" w:rsidRPr="00593B66" w:rsidRDefault="00593B66" w:rsidP="00305395">
      <w:pPr>
        <w:rPr>
          <w:color w:val="333333"/>
          <w:sz w:val="24"/>
          <w:szCs w:val="24"/>
          <w:shd w:val="clear" w:color="auto" w:fill="FFFFFF"/>
        </w:rPr>
      </w:pPr>
      <w:r w:rsidRPr="00593B66">
        <w:rPr>
          <w:color w:val="333333"/>
          <w:sz w:val="24"/>
          <w:szCs w:val="24"/>
          <w:shd w:val="clear" w:color="auto" w:fill="FFFFFF"/>
        </w:rPr>
        <w:t xml:space="preserve">Experience rating introduced a system whereby employers’ payments to the </w:t>
      </w:r>
      <w:r w:rsidR="00175448">
        <w:rPr>
          <w:color w:val="333333"/>
          <w:sz w:val="24"/>
          <w:szCs w:val="24"/>
          <w:shd w:val="clear" w:color="auto" w:fill="FFFFFF"/>
        </w:rPr>
        <w:t>WCB/</w:t>
      </w:r>
      <w:r w:rsidRPr="00593B66">
        <w:rPr>
          <w:color w:val="333333"/>
          <w:sz w:val="24"/>
          <w:szCs w:val="24"/>
          <w:shd w:val="clear" w:color="auto" w:fill="FFFFFF"/>
        </w:rPr>
        <w:t>W</w:t>
      </w:r>
      <w:r w:rsidR="00175448">
        <w:rPr>
          <w:color w:val="333333"/>
          <w:sz w:val="24"/>
          <w:szCs w:val="24"/>
          <w:shd w:val="clear" w:color="auto" w:fill="FFFFFF"/>
        </w:rPr>
        <w:t xml:space="preserve">SIB </w:t>
      </w:r>
      <w:r w:rsidRPr="00593B66">
        <w:rPr>
          <w:color w:val="333333"/>
          <w:sz w:val="24"/>
          <w:szCs w:val="24"/>
          <w:shd w:val="clear" w:color="auto" w:fill="FFFFFF"/>
        </w:rPr>
        <w:t>were significantly adjusted based on the cost of injured workers’ claims arising from their firms. It implemented hefty surcharges for high firm costs and lucrative rebates for costs below the industry average. Employers became highly incentivized to minimize the cost of claims to avoid huge surcharges and potentially gain major rebates.</w:t>
      </w:r>
      <w:r>
        <w:rPr>
          <w:rStyle w:val="FootnoteReference"/>
          <w:color w:val="333333"/>
          <w:sz w:val="24"/>
          <w:szCs w:val="24"/>
          <w:shd w:val="clear" w:color="auto" w:fill="FFFFFF"/>
        </w:rPr>
        <w:footnoteReference w:id="7"/>
      </w:r>
    </w:p>
    <w:p w14:paraId="6A2A9E9C" w14:textId="77777777" w:rsidR="00593B66" w:rsidRDefault="00593B66" w:rsidP="00305395">
      <w:pPr>
        <w:rPr>
          <w:sz w:val="24"/>
          <w:szCs w:val="24"/>
          <w:lang w:val="en-CA"/>
        </w:rPr>
      </w:pPr>
    </w:p>
    <w:p w14:paraId="745A19A5" w14:textId="77777777" w:rsidR="00593B66" w:rsidRDefault="00593B66" w:rsidP="008915C4">
      <w:pPr>
        <w:rPr>
          <w:sz w:val="24"/>
          <w:szCs w:val="24"/>
        </w:rPr>
      </w:pPr>
      <w:r>
        <w:rPr>
          <w:b/>
          <w:bCs/>
          <w:sz w:val="24"/>
          <w:szCs w:val="24"/>
        </w:rPr>
        <w:t>No fault</w:t>
      </w:r>
    </w:p>
    <w:p w14:paraId="77357909" w14:textId="77777777" w:rsidR="00593B66" w:rsidRDefault="00593B66" w:rsidP="008915C4">
      <w:pPr>
        <w:rPr>
          <w:sz w:val="24"/>
          <w:szCs w:val="24"/>
        </w:rPr>
      </w:pPr>
    </w:p>
    <w:p w14:paraId="67DCCC28" w14:textId="5B344590" w:rsidR="00593B66" w:rsidRDefault="0064431B" w:rsidP="008915C4">
      <w:pPr>
        <w:rPr>
          <w:sz w:val="24"/>
          <w:szCs w:val="24"/>
        </w:rPr>
      </w:pPr>
      <w:r>
        <w:rPr>
          <w:sz w:val="24"/>
          <w:szCs w:val="24"/>
        </w:rPr>
        <w:t>While the principle of no fault</w:t>
      </w:r>
      <w:r w:rsidR="00F04B7B">
        <w:rPr>
          <w:sz w:val="24"/>
          <w:szCs w:val="24"/>
        </w:rPr>
        <w:t xml:space="preserve"> in workers compensation is still enshrined in law, we have seen many employers bringing in policies and practices that challenge this principle.</w:t>
      </w:r>
      <w:r w:rsidR="00CE0D81">
        <w:rPr>
          <w:sz w:val="24"/>
          <w:szCs w:val="24"/>
        </w:rPr>
        <w:t xml:space="preserve">  One example is a major national employer that penalizes its workers for a workplace injury, citing the worker didn’t follow policy that led to the injury.</w:t>
      </w:r>
    </w:p>
    <w:p w14:paraId="40A76F8E" w14:textId="77777777" w:rsidR="00CE0D81" w:rsidRDefault="00CE0D81" w:rsidP="008915C4">
      <w:pPr>
        <w:rPr>
          <w:sz w:val="24"/>
          <w:szCs w:val="24"/>
        </w:rPr>
      </w:pPr>
    </w:p>
    <w:p w14:paraId="3A3C7AFA" w14:textId="2C212F32" w:rsidR="00CE0D81" w:rsidRDefault="00CE0D81" w:rsidP="008915C4">
      <w:pPr>
        <w:rPr>
          <w:sz w:val="24"/>
          <w:szCs w:val="24"/>
        </w:rPr>
      </w:pPr>
      <w:r>
        <w:rPr>
          <w:sz w:val="24"/>
          <w:szCs w:val="24"/>
        </w:rPr>
        <w:t xml:space="preserve">Another example is the use of </w:t>
      </w:r>
      <w:r w:rsidR="00172ADF">
        <w:rPr>
          <w:sz w:val="24"/>
          <w:szCs w:val="24"/>
        </w:rPr>
        <w:t>pre-existing</w:t>
      </w:r>
      <w:r>
        <w:rPr>
          <w:sz w:val="24"/>
          <w:szCs w:val="24"/>
        </w:rPr>
        <w:t xml:space="preserve"> policies by workers compensation to deny benefits, even though the worker was able to do their job before the workplace accident.</w:t>
      </w:r>
      <w:r w:rsidR="00164A75">
        <w:rPr>
          <w:rStyle w:val="FootnoteReference"/>
          <w:sz w:val="24"/>
          <w:szCs w:val="24"/>
        </w:rPr>
        <w:footnoteReference w:id="8"/>
      </w:r>
    </w:p>
    <w:p w14:paraId="01470A40" w14:textId="26DD6164" w:rsidR="00CE0D81" w:rsidRPr="00593B66" w:rsidRDefault="00CE0D81" w:rsidP="008915C4">
      <w:pPr>
        <w:rPr>
          <w:sz w:val="24"/>
          <w:szCs w:val="24"/>
        </w:rPr>
      </w:pPr>
      <w:r>
        <w:rPr>
          <w:sz w:val="24"/>
          <w:szCs w:val="24"/>
        </w:rPr>
        <w:t xml:space="preserve">And as experience rating took hold in workers compensation across the country, a flurry of consultants sprung up offering service to corporations </w:t>
      </w:r>
      <w:r w:rsidR="000A68B1">
        <w:rPr>
          <w:sz w:val="24"/>
          <w:szCs w:val="24"/>
        </w:rPr>
        <w:t>to challenge claims by their workers with the goal of reducing costs.</w:t>
      </w:r>
      <w:r>
        <w:rPr>
          <w:sz w:val="24"/>
          <w:szCs w:val="24"/>
        </w:rPr>
        <w:t xml:space="preserve"> </w:t>
      </w:r>
    </w:p>
    <w:p w14:paraId="173C7420" w14:textId="77777777" w:rsidR="00593B66" w:rsidRDefault="00593B66" w:rsidP="008915C4">
      <w:pPr>
        <w:rPr>
          <w:b/>
          <w:bCs/>
          <w:sz w:val="24"/>
          <w:szCs w:val="24"/>
        </w:rPr>
      </w:pPr>
    </w:p>
    <w:p w14:paraId="60654E26" w14:textId="3F96CCD2" w:rsidR="008915C4" w:rsidRPr="008915C4" w:rsidRDefault="008915C4" w:rsidP="008915C4">
      <w:pPr>
        <w:rPr>
          <w:b/>
          <w:bCs/>
          <w:sz w:val="24"/>
          <w:szCs w:val="24"/>
          <w:lang w:val="en-CA"/>
        </w:rPr>
      </w:pPr>
      <w:r w:rsidRPr="008915C4">
        <w:rPr>
          <w:b/>
          <w:bCs/>
          <w:sz w:val="24"/>
          <w:szCs w:val="24"/>
        </w:rPr>
        <w:t>Independent Agency</w:t>
      </w:r>
    </w:p>
    <w:p w14:paraId="0FF2604E" w14:textId="77777777" w:rsidR="008915C4" w:rsidRDefault="008915C4" w:rsidP="00305395">
      <w:pPr>
        <w:rPr>
          <w:sz w:val="24"/>
          <w:szCs w:val="24"/>
          <w:lang w:val="en-CA"/>
        </w:rPr>
      </w:pPr>
    </w:p>
    <w:p w14:paraId="0F06DF4F" w14:textId="64311B4F" w:rsidR="00474AE2" w:rsidRDefault="00474AE2" w:rsidP="00305395">
      <w:pPr>
        <w:rPr>
          <w:sz w:val="24"/>
          <w:szCs w:val="24"/>
          <w:lang w:val="en-CA"/>
        </w:rPr>
      </w:pPr>
      <w:r w:rsidRPr="00474AE2">
        <w:rPr>
          <w:sz w:val="24"/>
          <w:szCs w:val="24"/>
          <w:lang w:val="en-CA"/>
        </w:rPr>
        <w:t xml:space="preserve">The independence of </w:t>
      </w:r>
      <w:r w:rsidR="00175448">
        <w:rPr>
          <w:sz w:val="24"/>
          <w:szCs w:val="24"/>
          <w:lang w:val="en-CA"/>
        </w:rPr>
        <w:t>the WSIB</w:t>
      </w:r>
      <w:r w:rsidRPr="00474AE2">
        <w:rPr>
          <w:sz w:val="24"/>
          <w:szCs w:val="24"/>
          <w:lang w:val="en-CA"/>
        </w:rPr>
        <w:t xml:space="preserve"> is now in question. W</w:t>
      </w:r>
      <w:r>
        <w:rPr>
          <w:sz w:val="24"/>
          <w:szCs w:val="24"/>
          <w:lang w:val="en-CA"/>
        </w:rPr>
        <w:t xml:space="preserve">hether </w:t>
      </w:r>
      <w:r w:rsidRPr="00474AE2">
        <w:rPr>
          <w:sz w:val="24"/>
          <w:szCs w:val="24"/>
          <w:lang w:val="en-CA"/>
        </w:rPr>
        <w:t xml:space="preserve">it's the huge </w:t>
      </w:r>
      <w:r>
        <w:rPr>
          <w:sz w:val="24"/>
          <w:szCs w:val="24"/>
          <w:lang w:val="en-CA"/>
        </w:rPr>
        <w:t xml:space="preserve">financial </w:t>
      </w:r>
      <w:r w:rsidRPr="00474AE2">
        <w:rPr>
          <w:sz w:val="24"/>
          <w:szCs w:val="24"/>
          <w:lang w:val="en-CA"/>
        </w:rPr>
        <w:t xml:space="preserve">rebates </w:t>
      </w:r>
      <w:r w:rsidR="00DA66EF">
        <w:rPr>
          <w:sz w:val="24"/>
          <w:szCs w:val="24"/>
          <w:lang w:val="en-CA"/>
        </w:rPr>
        <w:t>t</w:t>
      </w:r>
      <w:r w:rsidRPr="00474AE2">
        <w:rPr>
          <w:sz w:val="24"/>
          <w:szCs w:val="24"/>
          <w:lang w:val="en-CA"/>
        </w:rPr>
        <w:t>o corporations</w:t>
      </w:r>
      <w:r w:rsidR="00DA66EF" w:rsidRPr="00DA66EF">
        <w:rPr>
          <w:sz w:val="24"/>
          <w:szCs w:val="24"/>
          <w:lang w:val="en-CA"/>
        </w:rPr>
        <w:t>, or the unwillingness to listen to the treating physicians for workers with an injury or illness</w:t>
      </w:r>
      <w:r w:rsidR="00DA66EF">
        <w:rPr>
          <w:sz w:val="24"/>
          <w:szCs w:val="24"/>
          <w:lang w:val="en-CA"/>
        </w:rPr>
        <w:t xml:space="preserve">, </w:t>
      </w:r>
      <w:r w:rsidR="00DA66EF" w:rsidRPr="00DA66EF">
        <w:rPr>
          <w:sz w:val="24"/>
          <w:szCs w:val="24"/>
          <w:lang w:val="en-CA"/>
        </w:rPr>
        <w:t>it seems the corporate lobby has captured the workers compensation system</w:t>
      </w:r>
      <w:r w:rsidR="00DA66EF">
        <w:rPr>
          <w:sz w:val="24"/>
          <w:szCs w:val="24"/>
          <w:lang w:val="en-CA"/>
        </w:rPr>
        <w:t>.  The Report, Prescription Over Ruled by the Ontario Federation of Labour and ONIWG, documents workers compensation systematically ignores the advice of medical professionals</w:t>
      </w:r>
      <w:r w:rsidR="00DA66EF">
        <w:rPr>
          <w:rStyle w:val="FootnoteReference"/>
          <w:sz w:val="24"/>
          <w:szCs w:val="24"/>
          <w:lang w:val="en-CA"/>
        </w:rPr>
        <w:footnoteReference w:id="9"/>
      </w:r>
      <w:r w:rsidR="0064313C">
        <w:rPr>
          <w:sz w:val="24"/>
          <w:szCs w:val="24"/>
          <w:lang w:val="en-CA"/>
        </w:rPr>
        <w:t>.</w:t>
      </w:r>
    </w:p>
    <w:p w14:paraId="4F9908EC" w14:textId="77777777" w:rsidR="0064313C" w:rsidRDefault="0064313C" w:rsidP="00305395">
      <w:pPr>
        <w:rPr>
          <w:sz w:val="24"/>
          <w:szCs w:val="24"/>
          <w:lang w:val="en-CA"/>
        </w:rPr>
      </w:pPr>
    </w:p>
    <w:p w14:paraId="193465C5" w14:textId="69951413" w:rsidR="0064313C" w:rsidRDefault="0064313C" w:rsidP="00305395">
      <w:pPr>
        <w:rPr>
          <w:sz w:val="24"/>
          <w:szCs w:val="24"/>
          <w:lang w:val="en-CA"/>
        </w:rPr>
      </w:pPr>
      <w:r>
        <w:rPr>
          <w:sz w:val="24"/>
          <w:szCs w:val="24"/>
          <w:lang w:val="en-CA"/>
        </w:rPr>
        <w:t xml:space="preserve">This corporate lobby has </w:t>
      </w:r>
      <w:r w:rsidR="00E96B16">
        <w:rPr>
          <w:sz w:val="24"/>
          <w:szCs w:val="24"/>
          <w:lang w:val="en-CA"/>
        </w:rPr>
        <w:t xml:space="preserve">successfully </w:t>
      </w:r>
      <w:r>
        <w:rPr>
          <w:sz w:val="24"/>
          <w:szCs w:val="24"/>
          <w:lang w:val="en-CA"/>
        </w:rPr>
        <w:t xml:space="preserve">worked to </w:t>
      </w:r>
      <w:r w:rsidR="00E96B16">
        <w:rPr>
          <w:sz w:val="24"/>
          <w:szCs w:val="24"/>
          <w:lang w:val="en-CA"/>
        </w:rPr>
        <w:t>influenced policy and practice at the W</w:t>
      </w:r>
      <w:r w:rsidR="00175448">
        <w:rPr>
          <w:sz w:val="24"/>
          <w:szCs w:val="24"/>
          <w:lang w:val="en-CA"/>
        </w:rPr>
        <w:t>SIB</w:t>
      </w:r>
      <w:r w:rsidR="00E96B16">
        <w:rPr>
          <w:sz w:val="24"/>
          <w:szCs w:val="24"/>
          <w:lang w:val="en-CA"/>
        </w:rPr>
        <w:t xml:space="preserve"> to create more barriers for workers seeking their rightful benefits.</w:t>
      </w:r>
      <w:r w:rsidR="00242D4D">
        <w:rPr>
          <w:rStyle w:val="FootnoteReference"/>
          <w:sz w:val="24"/>
          <w:szCs w:val="24"/>
          <w:lang w:val="en-CA"/>
        </w:rPr>
        <w:footnoteReference w:id="10"/>
      </w:r>
    </w:p>
    <w:p w14:paraId="5FA88EF6" w14:textId="77777777" w:rsidR="005979E6" w:rsidRDefault="005979E6" w:rsidP="00305395">
      <w:pPr>
        <w:rPr>
          <w:sz w:val="24"/>
          <w:szCs w:val="24"/>
          <w:lang w:val="en-CA"/>
        </w:rPr>
      </w:pPr>
    </w:p>
    <w:p w14:paraId="7746D6EF" w14:textId="77777777" w:rsidR="005979E6" w:rsidRPr="005979E6" w:rsidRDefault="005979E6" w:rsidP="005979E6">
      <w:pPr>
        <w:rPr>
          <w:b/>
          <w:bCs/>
          <w:sz w:val="24"/>
          <w:szCs w:val="24"/>
          <w:lang w:val="en-CA"/>
        </w:rPr>
      </w:pPr>
      <w:r w:rsidRPr="005979E6">
        <w:rPr>
          <w:b/>
          <w:bCs/>
          <w:sz w:val="24"/>
          <w:szCs w:val="24"/>
        </w:rPr>
        <w:t>Non-adversarial</w:t>
      </w:r>
    </w:p>
    <w:p w14:paraId="5F4D0FF4" w14:textId="77777777" w:rsidR="005979E6" w:rsidRDefault="005979E6" w:rsidP="00305395">
      <w:pPr>
        <w:rPr>
          <w:sz w:val="24"/>
          <w:szCs w:val="24"/>
          <w:lang w:val="en-CA"/>
        </w:rPr>
      </w:pPr>
    </w:p>
    <w:p w14:paraId="1F43B9EF" w14:textId="37C7DFBA" w:rsidR="001D3C73" w:rsidRDefault="00305395" w:rsidP="00305395">
      <w:pPr>
        <w:rPr>
          <w:sz w:val="24"/>
          <w:szCs w:val="24"/>
          <w:lang w:val="en-CA"/>
        </w:rPr>
      </w:pPr>
      <w:r w:rsidRPr="006D36B8">
        <w:rPr>
          <w:sz w:val="24"/>
          <w:szCs w:val="24"/>
          <w:lang w:val="en-CA"/>
        </w:rPr>
        <w:t xml:space="preserve">Research from the </w:t>
      </w:r>
      <w:r>
        <w:rPr>
          <w:sz w:val="24"/>
          <w:szCs w:val="24"/>
          <w:lang w:val="en-CA"/>
        </w:rPr>
        <w:t>I</w:t>
      </w:r>
      <w:r w:rsidRPr="006D36B8">
        <w:rPr>
          <w:sz w:val="24"/>
          <w:szCs w:val="24"/>
          <w:lang w:val="en-CA"/>
        </w:rPr>
        <w:t xml:space="preserve">nstitute for </w:t>
      </w:r>
      <w:r>
        <w:rPr>
          <w:sz w:val="24"/>
          <w:szCs w:val="24"/>
          <w:lang w:val="en-CA"/>
        </w:rPr>
        <w:t>W</w:t>
      </w:r>
      <w:r w:rsidRPr="006D36B8">
        <w:rPr>
          <w:sz w:val="24"/>
          <w:szCs w:val="24"/>
          <w:lang w:val="en-CA"/>
        </w:rPr>
        <w:t>ork</w:t>
      </w:r>
      <w:r>
        <w:rPr>
          <w:sz w:val="24"/>
          <w:szCs w:val="24"/>
          <w:lang w:val="en-CA"/>
        </w:rPr>
        <w:t xml:space="preserve"> and</w:t>
      </w:r>
      <w:r w:rsidRPr="006D36B8">
        <w:rPr>
          <w:sz w:val="24"/>
          <w:szCs w:val="24"/>
          <w:lang w:val="en-CA"/>
        </w:rPr>
        <w:t xml:space="preserve"> </w:t>
      </w:r>
      <w:r>
        <w:rPr>
          <w:sz w:val="24"/>
          <w:szCs w:val="24"/>
          <w:lang w:val="en-CA"/>
        </w:rPr>
        <w:t>H</w:t>
      </w:r>
      <w:r w:rsidRPr="006D36B8">
        <w:rPr>
          <w:sz w:val="24"/>
          <w:szCs w:val="24"/>
          <w:lang w:val="en-CA"/>
        </w:rPr>
        <w:t xml:space="preserve">ealth, the leading </w:t>
      </w:r>
      <w:r>
        <w:rPr>
          <w:sz w:val="24"/>
          <w:szCs w:val="24"/>
          <w:lang w:val="en-CA"/>
        </w:rPr>
        <w:t>r</w:t>
      </w:r>
      <w:r w:rsidRPr="006D36B8">
        <w:rPr>
          <w:sz w:val="24"/>
          <w:szCs w:val="24"/>
          <w:lang w:val="en-CA"/>
        </w:rPr>
        <w:t xml:space="preserve">esearch </w:t>
      </w:r>
      <w:r>
        <w:rPr>
          <w:sz w:val="24"/>
          <w:szCs w:val="24"/>
          <w:lang w:val="en-CA"/>
        </w:rPr>
        <w:t>i</w:t>
      </w:r>
      <w:r w:rsidRPr="006D36B8">
        <w:rPr>
          <w:sz w:val="24"/>
          <w:szCs w:val="24"/>
          <w:lang w:val="en-CA"/>
        </w:rPr>
        <w:t xml:space="preserve">nstitute in </w:t>
      </w:r>
      <w:r w:rsidR="00E96B16">
        <w:rPr>
          <w:sz w:val="24"/>
          <w:szCs w:val="24"/>
          <w:lang w:val="en-CA"/>
        </w:rPr>
        <w:t xml:space="preserve">English </w:t>
      </w:r>
      <w:r w:rsidRPr="006D36B8">
        <w:rPr>
          <w:sz w:val="24"/>
          <w:szCs w:val="24"/>
          <w:lang w:val="en-CA"/>
        </w:rPr>
        <w:t xml:space="preserve">Canada </w:t>
      </w:r>
      <w:r>
        <w:rPr>
          <w:sz w:val="24"/>
          <w:szCs w:val="24"/>
          <w:lang w:val="en-CA"/>
        </w:rPr>
        <w:t>f</w:t>
      </w:r>
      <w:r w:rsidRPr="006D36B8">
        <w:rPr>
          <w:sz w:val="24"/>
          <w:szCs w:val="24"/>
          <w:lang w:val="en-CA"/>
        </w:rPr>
        <w:t>ocusing</w:t>
      </w:r>
      <w:r w:rsidRPr="00B10772">
        <w:rPr>
          <w:sz w:val="24"/>
          <w:szCs w:val="24"/>
          <w:lang w:val="en-CA"/>
        </w:rPr>
        <w:t xml:space="preserve"> on workplace injury and workers compensation,</w:t>
      </w:r>
      <w:r w:rsidRPr="006D36B8">
        <w:rPr>
          <w:sz w:val="24"/>
          <w:szCs w:val="24"/>
          <w:lang w:val="en-CA"/>
        </w:rPr>
        <w:t xml:space="preserve"> has documented </w:t>
      </w:r>
      <w:r>
        <w:rPr>
          <w:sz w:val="24"/>
          <w:szCs w:val="24"/>
          <w:lang w:val="en-CA"/>
        </w:rPr>
        <w:t>t</w:t>
      </w:r>
      <w:r w:rsidRPr="00B10772">
        <w:rPr>
          <w:sz w:val="24"/>
          <w:szCs w:val="24"/>
          <w:lang w:val="en-CA"/>
        </w:rPr>
        <w:t>hat the interaction between the W</w:t>
      </w:r>
      <w:r w:rsidR="00300162">
        <w:rPr>
          <w:sz w:val="24"/>
          <w:szCs w:val="24"/>
          <w:lang w:val="en-CA"/>
        </w:rPr>
        <w:t>SI</w:t>
      </w:r>
      <w:r w:rsidRPr="00B10772">
        <w:rPr>
          <w:sz w:val="24"/>
          <w:szCs w:val="24"/>
          <w:lang w:val="en-CA"/>
        </w:rPr>
        <w:t xml:space="preserve">B case manager and the injured worker has caused mental illness in many </w:t>
      </w:r>
      <w:r w:rsidRPr="00B10772">
        <w:rPr>
          <w:sz w:val="24"/>
          <w:szCs w:val="24"/>
          <w:lang w:val="en-CA"/>
        </w:rPr>
        <w:lastRenderedPageBreak/>
        <w:t>workers that they are there to serve</w:t>
      </w:r>
      <w:r>
        <w:rPr>
          <w:sz w:val="24"/>
          <w:szCs w:val="24"/>
          <w:lang w:val="en-CA"/>
        </w:rPr>
        <w:t>.</w:t>
      </w:r>
      <w:r>
        <w:rPr>
          <w:rStyle w:val="FootnoteReference"/>
          <w:sz w:val="24"/>
          <w:szCs w:val="24"/>
          <w:lang w:val="en-CA"/>
        </w:rPr>
        <w:footnoteReference w:id="11"/>
      </w:r>
      <w:r w:rsidR="005979E6">
        <w:rPr>
          <w:sz w:val="24"/>
          <w:szCs w:val="24"/>
          <w:lang w:val="en-CA"/>
        </w:rPr>
        <w:t xml:space="preserve">  </w:t>
      </w:r>
      <w:r w:rsidR="005979E6" w:rsidRPr="005979E6">
        <w:rPr>
          <w:sz w:val="24"/>
          <w:szCs w:val="24"/>
          <w:lang w:val="en-CA"/>
        </w:rPr>
        <w:t>Many workers experience an adversar</w:t>
      </w:r>
      <w:r w:rsidR="00A93817">
        <w:rPr>
          <w:sz w:val="24"/>
          <w:szCs w:val="24"/>
          <w:lang w:val="en-CA"/>
        </w:rPr>
        <w:t xml:space="preserve">ial </w:t>
      </w:r>
      <w:r w:rsidR="005979E6" w:rsidRPr="005979E6">
        <w:rPr>
          <w:sz w:val="24"/>
          <w:szCs w:val="24"/>
          <w:lang w:val="en-CA"/>
        </w:rPr>
        <w:t xml:space="preserve">relationship with </w:t>
      </w:r>
      <w:r w:rsidR="005979E6" w:rsidRPr="001D3C73">
        <w:rPr>
          <w:sz w:val="24"/>
          <w:szCs w:val="24"/>
          <w:lang w:val="en-CA"/>
        </w:rPr>
        <w:t>the W</w:t>
      </w:r>
      <w:r w:rsidR="00300162">
        <w:rPr>
          <w:sz w:val="24"/>
          <w:szCs w:val="24"/>
          <w:lang w:val="en-CA"/>
        </w:rPr>
        <w:t>SIB</w:t>
      </w:r>
      <w:r w:rsidR="00A93817" w:rsidRPr="001D3C73">
        <w:rPr>
          <w:sz w:val="24"/>
          <w:szCs w:val="24"/>
          <w:lang w:val="en-CA"/>
        </w:rPr>
        <w:t xml:space="preserve"> where they are questioned repeatedly to verify their injury and its impact ongoing</w:t>
      </w:r>
      <w:r w:rsidR="001D3C73" w:rsidRPr="001D3C73">
        <w:rPr>
          <w:sz w:val="24"/>
          <w:szCs w:val="24"/>
          <w:lang w:val="en-CA"/>
        </w:rPr>
        <w:t>.</w:t>
      </w:r>
    </w:p>
    <w:p w14:paraId="441CB91B" w14:textId="77777777" w:rsidR="001D3C73" w:rsidRDefault="001D3C73" w:rsidP="00305395">
      <w:pPr>
        <w:rPr>
          <w:sz w:val="24"/>
          <w:szCs w:val="24"/>
          <w:lang w:val="en-CA"/>
        </w:rPr>
      </w:pPr>
    </w:p>
    <w:p w14:paraId="43689BFD" w14:textId="1DF56669" w:rsidR="00305395" w:rsidRPr="001D3C73" w:rsidRDefault="006300F2" w:rsidP="00305395">
      <w:pPr>
        <w:rPr>
          <w:sz w:val="24"/>
          <w:szCs w:val="24"/>
          <w:lang w:val="en-CA"/>
        </w:rPr>
      </w:pPr>
      <w:r>
        <w:rPr>
          <w:color w:val="222222"/>
          <w:sz w:val="24"/>
          <w:szCs w:val="24"/>
          <w:shd w:val="clear" w:color="auto" w:fill="FFFFFF"/>
        </w:rPr>
        <w:t>“</w:t>
      </w:r>
      <w:r w:rsidR="001D3C73" w:rsidRPr="001D3C73">
        <w:rPr>
          <w:color w:val="222222"/>
          <w:sz w:val="24"/>
          <w:szCs w:val="24"/>
          <w:shd w:val="clear" w:color="auto" w:fill="FFFFFF"/>
        </w:rPr>
        <w:t xml:space="preserve">Findings from this synthesis support the growing consensus that involvement in compensation systems contributes to poorer outcomes for </w:t>
      </w:r>
      <w:r>
        <w:rPr>
          <w:color w:val="222222"/>
          <w:sz w:val="24"/>
          <w:szCs w:val="24"/>
          <w:shd w:val="clear" w:color="auto" w:fill="FFFFFF"/>
        </w:rPr>
        <w:t>worker</w:t>
      </w:r>
      <w:r w:rsidR="001D3C73" w:rsidRPr="001D3C73">
        <w:rPr>
          <w:color w:val="222222"/>
          <w:sz w:val="24"/>
          <w:szCs w:val="24"/>
          <w:shd w:val="clear" w:color="auto" w:fill="FFFFFF"/>
        </w:rPr>
        <w:t>s. Interactions between insurers and injured workers were interwoven in cyclical and pathogenic relationships, which influence the development of secondary injury in the form of psychosocial consequences instead of fostering recovery of injured workers. This review suggests that further research is required to investigate positive interactions and identify mechanisms to better support and prevent secondary psychosocial harm to injured workers</w:t>
      </w:r>
      <w:r>
        <w:rPr>
          <w:color w:val="222222"/>
          <w:sz w:val="24"/>
          <w:szCs w:val="24"/>
          <w:shd w:val="clear" w:color="auto" w:fill="FFFFFF"/>
        </w:rPr>
        <w:t>”</w:t>
      </w:r>
      <w:r w:rsidR="001D3C73" w:rsidRPr="001D3C73">
        <w:rPr>
          <w:color w:val="222222"/>
          <w:sz w:val="24"/>
          <w:szCs w:val="24"/>
          <w:shd w:val="clear" w:color="auto" w:fill="FFFFFF"/>
        </w:rPr>
        <w:t>.</w:t>
      </w:r>
      <w:r w:rsidR="001D3C73" w:rsidRPr="001D3C73">
        <w:rPr>
          <w:rStyle w:val="FootnoteReference"/>
          <w:sz w:val="24"/>
          <w:szCs w:val="24"/>
          <w:lang w:val="en-CA"/>
        </w:rPr>
        <w:footnoteReference w:id="12"/>
      </w:r>
      <w:r w:rsidR="00A93817" w:rsidRPr="001D3C73">
        <w:rPr>
          <w:sz w:val="24"/>
          <w:szCs w:val="24"/>
          <w:lang w:val="en-CA"/>
        </w:rPr>
        <w:t xml:space="preserve">  </w:t>
      </w:r>
    </w:p>
    <w:p w14:paraId="3E7BF5DB" w14:textId="77777777" w:rsidR="00A93817" w:rsidRDefault="00A93817" w:rsidP="00305395">
      <w:pPr>
        <w:rPr>
          <w:sz w:val="24"/>
          <w:szCs w:val="24"/>
          <w:lang w:val="en-CA"/>
        </w:rPr>
      </w:pPr>
    </w:p>
    <w:p w14:paraId="223DC03A" w14:textId="2CAFF5EB" w:rsidR="00A93817" w:rsidRDefault="00A93817" w:rsidP="00305395">
      <w:pPr>
        <w:rPr>
          <w:sz w:val="24"/>
          <w:szCs w:val="24"/>
          <w:lang w:val="en-CA"/>
        </w:rPr>
      </w:pPr>
      <w:r w:rsidRPr="00A93817">
        <w:rPr>
          <w:sz w:val="24"/>
          <w:szCs w:val="24"/>
          <w:lang w:val="en-CA"/>
        </w:rPr>
        <w:t xml:space="preserve">At the same time the workers compensation system can cast suspicion </w:t>
      </w:r>
      <w:r w:rsidR="00E96B16">
        <w:rPr>
          <w:sz w:val="24"/>
          <w:szCs w:val="24"/>
          <w:lang w:val="en-CA"/>
        </w:rPr>
        <w:t>o</w:t>
      </w:r>
      <w:r w:rsidRPr="00A93817">
        <w:rPr>
          <w:sz w:val="24"/>
          <w:szCs w:val="24"/>
          <w:lang w:val="en-CA"/>
        </w:rPr>
        <w:t>n injured and disabled workers</w:t>
      </w:r>
      <w:r>
        <w:rPr>
          <w:sz w:val="24"/>
          <w:szCs w:val="24"/>
          <w:lang w:val="en-CA"/>
        </w:rPr>
        <w:t xml:space="preserve">.  </w:t>
      </w:r>
      <w:r w:rsidRPr="00A93817">
        <w:rPr>
          <w:sz w:val="24"/>
          <w:szCs w:val="24"/>
          <w:lang w:val="en-CA"/>
        </w:rPr>
        <w:t>Professor Jo</w:t>
      </w:r>
      <w:r>
        <w:rPr>
          <w:sz w:val="24"/>
          <w:szCs w:val="24"/>
          <w:lang w:val="en-CA"/>
        </w:rPr>
        <w:t>a</w:t>
      </w:r>
      <w:r w:rsidRPr="00A93817">
        <w:rPr>
          <w:sz w:val="24"/>
          <w:szCs w:val="24"/>
          <w:lang w:val="en-CA"/>
        </w:rPr>
        <w:t xml:space="preserve">n </w:t>
      </w:r>
      <w:r>
        <w:rPr>
          <w:sz w:val="24"/>
          <w:szCs w:val="24"/>
          <w:lang w:val="en-CA"/>
        </w:rPr>
        <w:t>Eakin h</w:t>
      </w:r>
      <w:r w:rsidRPr="00A93817">
        <w:rPr>
          <w:sz w:val="24"/>
          <w:szCs w:val="24"/>
          <w:lang w:val="en-CA"/>
        </w:rPr>
        <w:t xml:space="preserve">as documented this issue </w:t>
      </w:r>
      <w:r>
        <w:rPr>
          <w:sz w:val="24"/>
          <w:szCs w:val="24"/>
          <w:lang w:val="en-CA"/>
        </w:rPr>
        <w:t>i</w:t>
      </w:r>
      <w:r w:rsidRPr="00A93817">
        <w:rPr>
          <w:sz w:val="24"/>
          <w:szCs w:val="24"/>
          <w:lang w:val="en-CA"/>
        </w:rPr>
        <w:t>n her article</w:t>
      </w:r>
      <w:r>
        <w:rPr>
          <w:sz w:val="24"/>
          <w:szCs w:val="24"/>
          <w:lang w:val="en-CA"/>
        </w:rPr>
        <w:t xml:space="preserve">: </w:t>
      </w:r>
      <w:r w:rsidRPr="00A93817">
        <w:rPr>
          <w:sz w:val="24"/>
          <w:szCs w:val="24"/>
          <w:lang w:val="en-CA"/>
        </w:rPr>
        <w:t xml:space="preserve">The </w:t>
      </w:r>
      <w:r w:rsidR="00E96B16">
        <w:rPr>
          <w:sz w:val="24"/>
          <w:szCs w:val="24"/>
          <w:lang w:val="en-CA"/>
        </w:rPr>
        <w:t>D</w:t>
      </w:r>
      <w:r w:rsidRPr="00A93817">
        <w:rPr>
          <w:sz w:val="24"/>
          <w:szCs w:val="24"/>
          <w:lang w:val="en-CA"/>
        </w:rPr>
        <w:t xml:space="preserve">iscourse of </w:t>
      </w:r>
      <w:r w:rsidR="00E96B16">
        <w:rPr>
          <w:sz w:val="24"/>
          <w:szCs w:val="24"/>
          <w:lang w:val="en-CA"/>
        </w:rPr>
        <w:t>A</w:t>
      </w:r>
      <w:r w:rsidRPr="00A93817">
        <w:rPr>
          <w:sz w:val="24"/>
          <w:szCs w:val="24"/>
          <w:lang w:val="en-CA"/>
        </w:rPr>
        <w:t xml:space="preserve">buse in </w:t>
      </w:r>
      <w:r w:rsidR="00E96B16">
        <w:rPr>
          <w:sz w:val="24"/>
          <w:szCs w:val="24"/>
          <w:lang w:val="en-CA"/>
        </w:rPr>
        <w:t>R</w:t>
      </w:r>
      <w:r w:rsidRPr="00A93817">
        <w:rPr>
          <w:sz w:val="24"/>
          <w:szCs w:val="24"/>
          <w:lang w:val="en-CA"/>
        </w:rPr>
        <w:t xml:space="preserve">eturn to </w:t>
      </w:r>
      <w:r w:rsidR="00E96B16">
        <w:rPr>
          <w:sz w:val="24"/>
          <w:szCs w:val="24"/>
          <w:lang w:val="en-CA"/>
        </w:rPr>
        <w:t>W</w:t>
      </w:r>
      <w:r w:rsidRPr="00A93817">
        <w:rPr>
          <w:sz w:val="24"/>
          <w:szCs w:val="24"/>
          <w:lang w:val="en-CA"/>
        </w:rPr>
        <w:t xml:space="preserve">ork: </w:t>
      </w:r>
      <w:r>
        <w:rPr>
          <w:sz w:val="24"/>
          <w:szCs w:val="24"/>
          <w:lang w:val="en-CA"/>
        </w:rPr>
        <w:t>A</w:t>
      </w:r>
      <w:r w:rsidRPr="00A93817">
        <w:rPr>
          <w:sz w:val="24"/>
          <w:szCs w:val="24"/>
          <w:lang w:val="en-CA"/>
        </w:rPr>
        <w:t xml:space="preserve"> hidden epidemic of suffering.</w:t>
      </w:r>
      <w:r>
        <w:rPr>
          <w:rStyle w:val="FootnoteReference"/>
          <w:sz w:val="24"/>
          <w:szCs w:val="24"/>
          <w:lang w:val="en-CA"/>
        </w:rPr>
        <w:footnoteReference w:id="13"/>
      </w:r>
    </w:p>
    <w:p w14:paraId="391C8D76" w14:textId="77777777" w:rsidR="005F76F9" w:rsidRDefault="005F76F9" w:rsidP="00305395">
      <w:pPr>
        <w:rPr>
          <w:sz w:val="24"/>
          <w:szCs w:val="24"/>
          <w:lang w:val="en-CA"/>
        </w:rPr>
      </w:pPr>
    </w:p>
    <w:p w14:paraId="1877F685" w14:textId="3125D8B1" w:rsidR="005F76F9" w:rsidRDefault="005F76F9" w:rsidP="00305395">
      <w:pPr>
        <w:rPr>
          <w:sz w:val="24"/>
          <w:szCs w:val="24"/>
          <w:lang w:val="en-CA"/>
        </w:rPr>
      </w:pPr>
      <w:r w:rsidRPr="005F76F9">
        <w:rPr>
          <w:sz w:val="24"/>
          <w:szCs w:val="24"/>
          <w:lang w:val="en-CA"/>
        </w:rPr>
        <w:t>This discourse of abuse can result in a toxic dose of system problems as documented by Professor Ellen M</w:t>
      </w:r>
      <w:r>
        <w:rPr>
          <w:sz w:val="24"/>
          <w:szCs w:val="24"/>
          <w:lang w:val="en-CA"/>
        </w:rPr>
        <w:t>acEachen</w:t>
      </w:r>
      <w:r>
        <w:rPr>
          <w:rStyle w:val="FootnoteReference"/>
          <w:sz w:val="24"/>
          <w:szCs w:val="24"/>
          <w:lang w:val="en-CA"/>
        </w:rPr>
        <w:footnoteReference w:id="14"/>
      </w:r>
      <w:r>
        <w:rPr>
          <w:sz w:val="24"/>
          <w:szCs w:val="24"/>
          <w:lang w:val="en-CA"/>
        </w:rPr>
        <w:t xml:space="preserve">.  </w:t>
      </w:r>
      <w:r w:rsidRPr="005F76F9">
        <w:rPr>
          <w:sz w:val="24"/>
          <w:szCs w:val="24"/>
          <w:lang w:val="en-CA"/>
        </w:rPr>
        <w:t xml:space="preserve">And as a lead article in the Toronto </w:t>
      </w:r>
      <w:r>
        <w:rPr>
          <w:sz w:val="24"/>
          <w:szCs w:val="24"/>
          <w:lang w:val="en-CA"/>
        </w:rPr>
        <w:t xml:space="preserve">Star </w:t>
      </w:r>
      <w:r w:rsidRPr="005F76F9">
        <w:rPr>
          <w:sz w:val="24"/>
          <w:szCs w:val="24"/>
          <w:lang w:val="en-CA"/>
        </w:rPr>
        <w:t>documents</w:t>
      </w:r>
      <w:r>
        <w:rPr>
          <w:sz w:val="24"/>
          <w:szCs w:val="24"/>
          <w:lang w:val="en-CA"/>
        </w:rPr>
        <w:t>,</w:t>
      </w:r>
      <w:r w:rsidRPr="005F76F9">
        <w:rPr>
          <w:sz w:val="24"/>
          <w:szCs w:val="24"/>
          <w:lang w:val="en-CA"/>
        </w:rPr>
        <w:t xml:space="preserve"> this </w:t>
      </w:r>
      <w:r>
        <w:rPr>
          <w:sz w:val="24"/>
          <w:szCs w:val="24"/>
          <w:lang w:val="en-CA"/>
        </w:rPr>
        <w:t>p</w:t>
      </w:r>
      <w:r w:rsidRPr="005F76F9">
        <w:rPr>
          <w:sz w:val="24"/>
          <w:szCs w:val="24"/>
          <w:lang w:val="en-CA"/>
        </w:rPr>
        <w:t xml:space="preserve">olicy and practice </w:t>
      </w:r>
      <w:r>
        <w:rPr>
          <w:sz w:val="24"/>
          <w:szCs w:val="24"/>
          <w:lang w:val="en-CA"/>
        </w:rPr>
        <w:t>c</w:t>
      </w:r>
      <w:r w:rsidRPr="005F76F9">
        <w:rPr>
          <w:sz w:val="24"/>
          <w:szCs w:val="24"/>
          <w:lang w:val="en-CA"/>
        </w:rPr>
        <w:t>an end up with chronic unemployment</w:t>
      </w:r>
      <w:r>
        <w:rPr>
          <w:sz w:val="24"/>
          <w:szCs w:val="24"/>
          <w:lang w:val="en-CA"/>
        </w:rPr>
        <w:t xml:space="preserve"> with little or no ongoing benefits from the workers compensation system.</w:t>
      </w:r>
      <w:r>
        <w:rPr>
          <w:rStyle w:val="FootnoteReference"/>
          <w:sz w:val="24"/>
          <w:szCs w:val="24"/>
          <w:lang w:val="en-CA"/>
        </w:rPr>
        <w:footnoteReference w:id="15"/>
      </w:r>
    </w:p>
    <w:p w14:paraId="775EF098" w14:textId="77777777" w:rsidR="00305395" w:rsidRPr="00305395" w:rsidRDefault="00305395" w:rsidP="00305395">
      <w:pPr>
        <w:rPr>
          <w:sz w:val="24"/>
          <w:szCs w:val="24"/>
          <w:lang w:val="en-CA"/>
        </w:rPr>
      </w:pPr>
    </w:p>
    <w:p w14:paraId="6352DEF9" w14:textId="4D76045B" w:rsidR="00E96B16" w:rsidRPr="00E96B16" w:rsidRDefault="00E96B16" w:rsidP="00E96B16">
      <w:pPr>
        <w:pStyle w:val="ListParagraph"/>
        <w:numPr>
          <w:ilvl w:val="0"/>
          <w:numId w:val="12"/>
        </w:numPr>
        <w:rPr>
          <w:sz w:val="24"/>
          <w:szCs w:val="24"/>
        </w:rPr>
      </w:pPr>
      <w:r w:rsidRPr="00E96B16">
        <w:rPr>
          <w:sz w:val="24"/>
          <w:szCs w:val="24"/>
        </w:rPr>
        <w:t xml:space="preserve">That workers compensation has changed significantly over the last three decades. The focus has shifted to one of financial responsibility and efficiency, often at the expense of those workers most in need of support and compensation. </w:t>
      </w:r>
    </w:p>
    <w:p w14:paraId="3736DED8" w14:textId="77777777" w:rsidR="00736416" w:rsidRPr="0018313F" w:rsidRDefault="00736416" w:rsidP="0018313F">
      <w:pPr>
        <w:rPr>
          <w:sz w:val="24"/>
          <w:szCs w:val="24"/>
        </w:rPr>
      </w:pPr>
    </w:p>
    <w:p w14:paraId="788CDC07" w14:textId="02C3E3BD" w:rsidR="004E661A" w:rsidRPr="00D24152" w:rsidRDefault="004E661A" w:rsidP="004E661A">
      <w:pPr>
        <w:rPr>
          <w:color w:val="000000"/>
          <w:sz w:val="24"/>
          <w:szCs w:val="24"/>
          <w:lang w:val="en-CA"/>
        </w:rPr>
      </w:pPr>
      <w:r w:rsidRPr="004E661A">
        <w:rPr>
          <w:color w:val="000000"/>
          <w:sz w:val="24"/>
          <w:szCs w:val="24"/>
          <w:lang w:val="en-CA"/>
        </w:rPr>
        <w:t>Injured and Disabled Workers with serious, permanent disabilities regularly</w:t>
      </w:r>
      <w:r w:rsidR="00D24152">
        <w:rPr>
          <w:color w:val="000000"/>
          <w:sz w:val="24"/>
          <w:szCs w:val="24"/>
          <w:lang w:val="en-CA"/>
        </w:rPr>
        <w:t xml:space="preserve"> </w:t>
      </w:r>
      <w:r w:rsidRPr="004E661A">
        <w:rPr>
          <w:color w:val="000000"/>
          <w:sz w:val="24"/>
          <w:szCs w:val="24"/>
          <w:lang w:val="en-CA"/>
        </w:rPr>
        <w:t>end up unemployed with little or no benefits from the WSIB. Most of them</w:t>
      </w:r>
      <w:r w:rsidR="00D24152">
        <w:rPr>
          <w:color w:val="000000"/>
          <w:sz w:val="24"/>
          <w:szCs w:val="24"/>
          <w:lang w:val="en-CA"/>
        </w:rPr>
        <w:t xml:space="preserve"> </w:t>
      </w:r>
      <w:r w:rsidRPr="004E661A">
        <w:rPr>
          <w:color w:val="000000"/>
          <w:sz w:val="24"/>
          <w:szCs w:val="24"/>
          <w:lang w:val="en-CA"/>
        </w:rPr>
        <w:t>return to work after their initial injury but often this employment is not</w:t>
      </w:r>
      <w:r w:rsidR="00D24152">
        <w:rPr>
          <w:color w:val="000000"/>
          <w:sz w:val="24"/>
          <w:szCs w:val="24"/>
          <w:lang w:val="en-CA"/>
        </w:rPr>
        <w:t xml:space="preserve"> </w:t>
      </w:r>
      <w:r w:rsidRPr="004E661A">
        <w:rPr>
          <w:color w:val="000000"/>
          <w:sz w:val="24"/>
          <w:szCs w:val="24"/>
          <w:lang w:val="en-CA"/>
        </w:rPr>
        <w:t>sustainable</w:t>
      </w:r>
      <w:r w:rsidRPr="004E661A">
        <w:rPr>
          <w:rFonts w:ascii="Arial" w:hAnsi="Arial" w:cs="Arial"/>
          <w:color w:val="000000"/>
          <w:sz w:val="21"/>
          <w:szCs w:val="21"/>
          <w:lang w:val="en-CA"/>
        </w:rPr>
        <w:t>.</w:t>
      </w:r>
      <w:r>
        <w:rPr>
          <w:rStyle w:val="FootnoteReference"/>
          <w:rFonts w:ascii="Arial" w:hAnsi="Arial" w:cs="Arial"/>
          <w:color w:val="000000"/>
          <w:sz w:val="21"/>
          <w:szCs w:val="21"/>
          <w:lang w:val="en-CA"/>
        </w:rPr>
        <w:footnoteReference w:id="16"/>
      </w:r>
    </w:p>
    <w:p w14:paraId="6285E9B1" w14:textId="77777777" w:rsidR="004E661A" w:rsidRDefault="004E661A" w:rsidP="004E661A">
      <w:pPr>
        <w:rPr>
          <w:rFonts w:ascii="Arial" w:hAnsi="Arial" w:cs="Arial"/>
          <w:color w:val="000000"/>
          <w:sz w:val="21"/>
          <w:szCs w:val="21"/>
          <w:lang w:val="en-CA"/>
        </w:rPr>
      </w:pPr>
    </w:p>
    <w:p w14:paraId="6029B9BA" w14:textId="76543F7D" w:rsidR="006D36B8" w:rsidRDefault="004E661A" w:rsidP="00E91953">
      <w:pPr>
        <w:rPr>
          <w:color w:val="000000"/>
          <w:sz w:val="24"/>
          <w:szCs w:val="24"/>
          <w:lang w:val="en-CA"/>
        </w:rPr>
      </w:pPr>
      <w:r w:rsidRPr="004E661A">
        <w:rPr>
          <w:color w:val="000000"/>
          <w:sz w:val="24"/>
          <w:szCs w:val="24"/>
          <w:lang w:val="en-CA"/>
        </w:rPr>
        <w:t xml:space="preserve">Research from South of the border </w:t>
      </w:r>
      <w:r w:rsidR="00E91953">
        <w:rPr>
          <w:color w:val="000000"/>
          <w:sz w:val="24"/>
          <w:szCs w:val="24"/>
          <w:lang w:val="en-CA"/>
        </w:rPr>
        <w:t>identifies significantly higher rates of suicide and overdose deaths among injured workers.</w:t>
      </w:r>
      <w:r w:rsidR="00E91953">
        <w:rPr>
          <w:rStyle w:val="FootnoteReference"/>
          <w:color w:val="000000"/>
          <w:sz w:val="24"/>
          <w:szCs w:val="24"/>
          <w:lang w:val="en-CA"/>
        </w:rPr>
        <w:footnoteReference w:id="17"/>
      </w:r>
    </w:p>
    <w:p w14:paraId="068EB933" w14:textId="77777777" w:rsidR="00996B02" w:rsidRDefault="00996B02" w:rsidP="00E91953">
      <w:pPr>
        <w:rPr>
          <w:color w:val="000000"/>
          <w:sz w:val="24"/>
          <w:szCs w:val="24"/>
          <w:lang w:val="en-CA"/>
        </w:rPr>
      </w:pPr>
    </w:p>
    <w:p w14:paraId="03D73D83" w14:textId="459C0494" w:rsidR="00996B02" w:rsidRDefault="00996B02" w:rsidP="00E91953">
      <w:pPr>
        <w:rPr>
          <w:color w:val="000000"/>
          <w:sz w:val="24"/>
          <w:szCs w:val="24"/>
          <w:lang w:val="en-CA"/>
        </w:rPr>
      </w:pPr>
      <w:r>
        <w:rPr>
          <w:color w:val="000000"/>
          <w:sz w:val="24"/>
          <w:szCs w:val="24"/>
          <w:lang w:val="en-CA"/>
        </w:rPr>
        <w:t xml:space="preserve">The </w:t>
      </w:r>
      <w:r w:rsidR="007E16E8">
        <w:rPr>
          <w:color w:val="000000"/>
          <w:sz w:val="24"/>
          <w:szCs w:val="24"/>
          <w:lang w:val="en-CA"/>
        </w:rPr>
        <w:t>Return-to-Work</w:t>
      </w:r>
      <w:r>
        <w:rPr>
          <w:color w:val="000000"/>
          <w:sz w:val="24"/>
          <w:szCs w:val="24"/>
          <w:lang w:val="en-CA"/>
        </w:rPr>
        <w:t xml:space="preserve"> process </w:t>
      </w:r>
      <w:r w:rsidR="007D6B4D">
        <w:rPr>
          <w:color w:val="000000"/>
          <w:sz w:val="24"/>
          <w:szCs w:val="24"/>
          <w:lang w:val="en-CA"/>
        </w:rPr>
        <w:t>has become</w:t>
      </w:r>
      <w:r>
        <w:rPr>
          <w:color w:val="000000"/>
          <w:sz w:val="24"/>
          <w:szCs w:val="24"/>
          <w:lang w:val="en-CA"/>
        </w:rPr>
        <w:t xml:space="preserve"> an area of significant </w:t>
      </w:r>
      <w:r w:rsidR="007D6B4D">
        <w:rPr>
          <w:color w:val="000000"/>
          <w:sz w:val="24"/>
          <w:szCs w:val="24"/>
          <w:lang w:val="en-CA"/>
        </w:rPr>
        <w:t xml:space="preserve">conflict with “forced” return to work becoming far too common.  While the vast majority of workers have told us their priority is to return to work, pushing workers back to work before they have healed has led to further injury </w:t>
      </w:r>
      <w:r w:rsidR="007D6B4D">
        <w:rPr>
          <w:color w:val="000000"/>
          <w:sz w:val="24"/>
          <w:szCs w:val="24"/>
          <w:lang w:val="en-CA"/>
        </w:rPr>
        <w:lastRenderedPageBreak/>
        <w:t>and disability.  In our letter of 2016, we lay out our concerns and offer recommendations to safeguard workers from further injury.</w:t>
      </w:r>
      <w:r w:rsidR="007D6B4D">
        <w:rPr>
          <w:rStyle w:val="FootnoteReference"/>
          <w:color w:val="000000"/>
          <w:sz w:val="24"/>
          <w:szCs w:val="24"/>
          <w:lang w:val="en-CA"/>
        </w:rPr>
        <w:footnoteReference w:id="18"/>
      </w:r>
      <w:r w:rsidR="007D6B4D">
        <w:rPr>
          <w:color w:val="000000"/>
          <w:sz w:val="24"/>
          <w:szCs w:val="24"/>
          <w:lang w:val="en-CA"/>
        </w:rPr>
        <w:t xml:space="preserve"> </w:t>
      </w:r>
      <w:r w:rsidR="007D6B4D">
        <w:rPr>
          <w:rStyle w:val="FootnoteReference"/>
          <w:color w:val="000000"/>
          <w:sz w:val="24"/>
          <w:szCs w:val="24"/>
          <w:lang w:val="en-CA"/>
        </w:rPr>
        <w:footnoteReference w:id="19"/>
      </w:r>
    </w:p>
    <w:p w14:paraId="4632A8EC" w14:textId="77777777" w:rsidR="00E91953" w:rsidRPr="00E91953" w:rsidRDefault="00E91953" w:rsidP="00E91953">
      <w:pPr>
        <w:rPr>
          <w:color w:val="000000"/>
          <w:sz w:val="24"/>
          <w:szCs w:val="24"/>
          <w:lang w:val="en-CA"/>
        </w:rPr>
      </w:pPr>
    </w:p>
    <w:p w14:paraId="3C95C915" w14:textId="28EB4E7D" w:rsidR="00CC5B38" w:rsidRPr="00A704A7" w:rsidRDefault="00CC5B38" w:rsidP="00A704A7">
      <w:pPr>
        <w:pStyle w:val="ListParagraph"/>
        <w:numPr>
          <w:ilvl w:val="0"/>
          <w:numId w:val="9"/>
        </w:numPr>
        <w:rPr>
          <w:sz w:val="24"/>
          <w:szCs w:val="24"/>
        </w:rPr>
      </w:pPr>
      <w:r w:rsidRPr="00A704A7">
        <w:rPr>
          <w:sz w:val="24"/>
          <w:szCs w:val="24"/>
        </w:rPr>
        <w:t>Cost shifting from WSIB to provincial coffers in areas such as health care, income support, community services, and retirement has significant impact on the provincial budget.</w:t>
      </w:r>
      <w:r w:rsidRPr="00A704A7">
        <w:rPr>
          <w:sz w:val="24"/>
          <w:szCs w:val="24"/>
        </w:rPr>
        <w:br/>
      </w:r>
    </w:p>
    <w:p w14:paraId="6837EF0A" w14:textId="7AFA806E" w:rsidR="00CC5B38" w:rsidRPr="00183143" w:rsidRDefault="00CC5B38" w:rsidP="00CC5B38">
      <w:pPr>
        <w:rPr>
          <w:sz w:val="24"/>
          <w:szCs w:val="24"/>
        </w:rPr>
      </w:pPr>
      <w:r w:rsidRPr="00183143">
        <w:rPr>
          <w:sz w:val="24"/>
          <w:szCs w:val="24"/>
        </w:rPr>
        <w:t>Over the last 15 years, we have see</w:t>
      </w:r>
      <w:r w:rsidR="008F17C3" w:rsidRPr="00183143">
        <w:rPr>
          <w:sz w:val="24"/>
          <w:szCs w:val="24"/>
        </w:rPr>
        <w:t>n</w:t>
      </w:r>
      <w:r w:rsidRPr="00183143">
        <w:rPr>
          <w:sz w:val="24"/>
          <w:szCs w:val="24"/>
        </w:rPr>
        <w:t xml:space="preserve"> a radical shift at the WSIB as they have focused on cost containment and reducing costs to businesses and corporations.</w:t>
      </w:r>
      <w:r w:rsidR="008F17C3" w:rsidRPr="00183143">
        <w:rPr>
          <w:sz w:val="24"/>
          <w:szCs w:val="24"/>
        </w:rPr>
        <w:t xml:space="preserve">  A </w:t>
      </w:r>
      <w:r w:rsidR="006300F2">
        <w:rPr>
          <w:sz w:val="24"/>
          <w:szCs w:val="24"/>
        </w:rPr>
        <w:t>2024 news release</w:t>
      </w:r>
      <w:r w:rsidR="008F17C3" w:rsidRPr="00183143">
        <w:rPr>
          <w:sz w:val="24"/>
          <w:szCs w:val="24"/>
        </w:rPr>
        <w:t xml:space="preserve"> from the WSIB to </w:t>
      </w:r>
      <w:r w:rsidR="00242D4D">
        <w:rPr>
          <w:sz w:val="24"/>
          <w:szCs w:val="24"/>
        </w:rPr>
        <w:t xml:space="preserve">Ontario </w:t>
      </w:r>
      <w:r w:rsidR="008F17C3" w:rsidRPr="00183143">
        <w:rPr>
          <w:sz w:val="24"/>
          <w:szCs w:val="24"/>
        </w:rPr>
        <w:t>employers noted a savings to corporations of over $</w:t>
      </w:r>
      <w:r w:rsidR="006300F2">
        <w:rPr>
          <w:sz w:val="24"/>
          <w:szCs w:val="24"/>
        </w:rPr>
        <w:t>1</w:t>
      </w:r>
      <w:r w:rsidR="008F17C3" w:rsidRPr="00183143">
        <w:rPr>
          <w:sz w:val="24"/>
          <w:szCs w:val="24"/>
        </w:rPr>
        <w:t>8,</w:t>
      </w:r>
      <w:r w:rsidR="006300F2">
        <w:rPr>
          <w:sz w:val="24"/>
          <w:szCs w:val="24"/>
        </w:rPr>
        <w:t>6</w:t>
      </w:r>
      <w:r w:rsidR="008F17C3" w:rsidRPr="00183143">
        <w:rPr>
          <w:sz w:val="24"/>
          <w:szCs w:val="24"/>
        </w:rPr>
        <w:t>00,000,000 since 201</w:t>
      </w:r>
      <w:r w:rsidR="006300F2">
        <w:rPr>
          <w:sz w:val="24"/>
          <w:szCs w:val="24"/>
        </w:rPr>
        <w:t>7</w:t>
      </w:r>
      <w:r w:rsidR="008F17C3" w:rsidRPr="00183143">
        <w:rPr>
          <w:sz w:val="24"/>
          <w:szCs w:val="24"/>
        </w:rPr>
        <w:t>.</w:t>
      </w:r>
      <w:r w:rsidR="006300F2">
        <w:rPr>
          <w:rStyle w:val="FootnoteReference"/>
          <w:sz w:val="24"/>
          <w:szCs w:val="24"/>
        </w:rPr>
        <w:footnoteReference w:id="20"/>
      </w:r>
    </w:p>
    <w:p w14:paraId="4297385B" w14:textId="77777777" w:rsidR="00CC5B38" w:rsidRPr="00183143" w:rsidRDefault="00CC5B38" w:rsidP="00CC5B38">
      <w:pPr>
        <w:rPr>
          <w:sz w:val="24"/>
          <w:szCs w:val="24"/>
        </w:rPr>
      </w:pPr>
    </w:p>
    <w:p w14:paraId="192C3781" w14:textId="0CC4097C" w:rsidR="00CC5B38" w:rsidRPr="00183143" w:rsidRDefault="00CC5B38" w:rsidP="00CC5B38">
      <w:pPr>
        <w:rPr>
          <w:sz w:val="24"/>
          <w:szCs w:val="24"/>
        </w:rPr>
      </w:pPr>
      <w:r w:rsidRPr="00183143">
        <w:rPr>
          <w:sz w:val="24"/>
          <w:szCs w:val="24"/>
        </w:rPr>
        <w:t>This has meant that thousands of workers</w:t>
      </w:r>
      <w:r w:rsidR="005814EE" w:rsidRPr="00183143">
        <w:rPr>
          <w:rStyle w:val="FootnoteReference"/>
          <w:sz w:val="24"/>
          <w:szCs w:val="24"/>
        </w:rPr>
        <w:footnoteReference w:id="21"/>
      </w:r>
      <w:r w:rsidRPr="00183143">
        <w:rPr>
          <w:sz w:val="24"/>
          <w:szCs w:val="24"/>
        </w:rPr>
        <w:t xml:space="preserve"> with </w:t>
      </w:r>
      <w:r w:rsidR="008F17C3" w:rsidRPr="00183143">
        <w:rPr>
          <w:sz w:val="24"/>
          <w:szCs w:val="24"/>
        </w:rPr>
        <w:t xml:space="preserve">work acquired </w:t>
      </w:r>
      <w:r w:rsidRPr="00183143">
        <w:rPr>
          <w:sz w:val="24"/>
          <w:szCs w:val="24"/>
        </w:rPr>
        <w:t xml:space="preserve">permanent injuries and illnesses </w:t>
      </w:r>
      <w:r w:rsidR="008F17C3" w:rsidRPr="00183143">
        <w:rPr>
          <w:sz w:val="24"/>
          <w:szCs w:val="24"/>
        </w:rPr>
        <w:t>each year are being left with little or no financial support or health care from the WSIB.  These are workers that have their claims accept</w:t>
      </w:r>
      <w:r w:rsidR="00A704A7">
        <w:rPr>
          <w:sz w:val="24"/>
          <w:szCs w:val="24"/>
        </w:rPr>
        <w:t>ed</w:t>
      </w:r>
      <w:r w:rsidR="008F17C3" w:rsidRPr="00183143">
        <w:rPr>
          <w:sz w:val="24"/>
          <w:szCs w:val="24"/>
        </w:rPr>
        <w:t xml:space="preserve"> by the WSIB.</w:t>
      </w:r>
    </w:p>
    <w:p w14:paraId="297F8A31" w14:textId="77777777" w:rsidR="00DD796A" w:rsidRPr="00183143" w:rsidRDefault="00DD796A" w:rsidP="00CC5B38">
      <w:pPr>
        <w:rPr>
          <w:sz w:val="24"/>
          <w:szCs w:val="24"/>
        </w:rPr>
      </w:pPr>
    </w:p>
    <w:p w14:paraId="2461F0C7" w14:textId="53DDC31D" w:rsidR="00DD796A" w:rsidRPr="00183143" w:rsidRDefault="00DD796A" w:rsidP="00CC5B38">
      <w:pPr>
        <w:rPr>
          <w:sz w:val="24"/>
          <w:szCs w:val="24"/>
        </w:rPr>
      </w:pPr>
      <w:r w:rsidRPr="00183143">
        <w:rPr>
          <w:sz w:val="24"/>
          <w:szCs w:val="24"/>
        </w:rPr>
        <w:t>The fact that the WSIB discontinues the long-term support to these workers and their families causes these costs to be shifted into the public sector.  Many of these families end up in poverty</w:t>
      </w:r>
      <w:r w:rsidR="005814EE" w:rsidRPr="00183143">
        <w:rPr>
          <w:rStyle w:val="FootnoteReference"/>
          <w:sz w:val="24"/>
          <w:szCs w:val="24"/>
        </w:rPr>
        <w:footnoteReference w:id="22"/>
      </w:r>
      <w:r w:rsidRPr="00183143">
        <w:rPr>
          <w:sz w:val="24"/>
          <w:szCs w:val="24"/>
        </w:rPr>
        <w:t xml:space="preserve"> and in ill health forcing them to rely on publicly funded services; health care, </w:t>
      </w:r>
      <w:r w:rsidR="005814EE" w:rsidRPr="00183143">
        <w:rPr>
          <w:sz w:val="24"/>
          <w:szCs w:val="24"/>
        </w:rPr>
        <w:t>welfare,</w:t>
      </w:r>
      <w:r w:rsidRPr="00183143">
        <w:rPr>
          <w:sz w:val="24"/>
          <w:szCs w:val="24"/>
        </w:rPr>
        <w:t xml:space="preserve"> and social services.  A study undertaken by Street Health in Toronto found that 57% of the homeless people surveyed had a work injury or illness.</w:t>
      </w:r>
    </w:p>
    <w:p w14:paraId="0AAB2017" w14:textId="77777777" w:rsidR="00BA50D4" w:rsidRPr="00183143" w:rsidRDefault="00BA50D4" w:rsidP="00CC5B38">
      <w:pPr>
        <w:rPr>
          <w:sz w:val="24"/>
          <w:szCs w:val="24"/>
        </w:rPr>
      </w:pPr>
    </w:p>
    <w:p w14:paraId="6D61A417" w14:textId="4A8C1407" w:rsidR="00BA50D4" w:rsidRPr="00183143" w:rsidRDefault="00BA50D4" w:rsidP="00CC5B38">
      <w:pPr>
        <w:rPr>
          <w:sz w:val="24"/>
          <w:szCs w:val="24"/>
        </w:rPr>
      </w:pPr>
      <w:r w:rsidRPr="00183143">
        <w:rPr>
          <w:sz w:val="24"/>
          <w:szCs w:val="24"/>
        </w:rPr>
        <w:t xml:space="preserve">There has not been a comprehensive study on the total impact of this cost shifting from the </w:t>
      </w:r>
      <w:r w:rsidR="00E91953">
        <w:rPr>
          <w:sz w:val="24"/>
          <w:szCs w:val="24"/>
        </w:rPr>
        <w:t xml:space="preserve">Ontario </w:t>
      </w:r>
      <w:r w:rsidRPr="00183143">
        <w:rPr>
          <w:sz w:val="24"/>
          <w:szCs w:val="24"/>
        </w:rPr>
        <w:t xml:space="preserve">WSIB to the public </w:t>
      </w:r>
      <w:r w:rsidR="001173EC" w:rsidRPr="00183143">
        <w:rPr>
          <w:sz w:val="24"/>
          <w:szCs w:val="24"/>
        </w:rPr>
        <w:t>purse,</w:t>
      </w:r>
      <w:r w:rsidRPr="00183143">
        <w:rPr>
          <w:sz w:val="24"/>
          <w:szCs w:val="24"/>
        </w:rPr>
        <w:t xml:space="preserve"> </w:t>
      </w:r>
      <w:r w:rsidR="001173EC" w:rsidRPr="00183143">
        <w:rPr>
          <w:sz w:val="24"/>
          <w:szCs w:val="24"/>
        </w:rPr>
        <w:t xml:space="preserve">but it may be in the range of $2 Billion a year.  </w:t>
      </w:r>
    </w:p>
    <w:p w14:paraId="52A88392" w14:textId="77777777" w:rsidR="001173EC" w:rsidRPr="00183143" w:rsidRDefault="001173EC" w:rsidP="00CC5B38">
      <w:pPr>
        <w:rPr>
          <w:sz w:val="24"/>
          <w:szCs w:val="24"/>
        </w:rPr>
      </w:pPr>
    </w:p>
    <w:p w14:paraId="2AE6B0FB" w14:textId="09E5738F" w:rsidR="001173EC" w:rsidRPr="00183143" w:rsidRDefault="001173EC" w:rsidP="00CC5B38">
      <w:pPr>
        <w:rPr>
          <w:sz w:val="24"/>
          <w:szCs w:val="24"/>
        </w:rPr>
      </w:pPr>
      <w:r w:rsidRPr="00183143">
        <w:rPr>
          <w:sz w:val="24"/>
          <w:szCs w:val="24"/>
        </w:rPr>
        <w:t>Another aspect of this cost shifting is the issue of claims suppression by employers.  Research completed in Ontario, British Columbia and Manitoba have found high levels of non-reporting of injuries and diseases to their respective workers compensation boards.  The 2022 report from BC estimated that 40 – 50% of injuries and illnesses are not reported.</w:t>
      </w:r>
      <w:r w:rsidRPr="00183143">
        <w:rPr>
          <w:rStyle w:val="FootnoteReference"/>
          <w:sz w:val="24"/>
          <w:szCs w:val="24"/>
        </w:rPr>
        <w:footnoteReference w:id="23"/>
      </w:r>
    </w:p>
    <w:p w14:paraId="0C50F6C4" w14:textId="77777777" w:rsidR="001173EC" w:rsidRPr="00183143" w:rsidRDefault="001173EC" w:rsidP="00CC5B38">
      <w:pPr>
        <w:rPr>
          <w:sz w:val="24"/>
          <w:szCs w:val="24"/>
        </w:rPr>
      </w:pPr>
    </w:p>
    <w:p w14:paraId="0C8260FC" w14:textId="77777777" w:rsidR="001173EC" w:rsidRPr="00183143" w:rsidRDefault="001173EC" w:rsidP="00CC5B38">
      <w:pPr>
        <w:rPr>
          <w:sz w:val="24"/>
          <w:szCs w:val="24"/>
        </w:rPr>
      </w:pPr>
      <w:r w:rsidRPr="00183143">
        <w:rPr>
          <w:sz w:val="24"/>
          <w:szCs w:val="24"/>
        </w:rPr>
        <w:t>If we factor the costs to these workers and their families, that should be funded through workers compensation system, we could be looking at an additional - $1-3 Billion annually.</w:t>
      </w:r>
    </w:p>
    <w:p w14:paraId="30C28AE4" w14:textId="77777777" w:rsidR="001173EC" w:rsidRPr="00183143" w:rsidRDefault="001173EC" w:rsidP="00CC5B38">
      <w:pPr>
        <w:rPr>
          <w:sz w:val="24"/>
          <w:szCs w:val="24"/>
        </w:rPr>
      </w:pPr>
    </w:p>
    <w:p w14:paraId="356CBC50" w14:textId="03D5A5D4" w:rsidR="001173EC" w:rsidRPr="00183143" w:rsidRDefault="001173EC" w:rsidP="00CC5B38">
      <w:pPr>
        <w:rPr>
          <w:sz w:val="24"/>
          <w:szCs w:val="24"/>
        </w:rPr>
      </w:pPr>
      <w:r w:rsidRPr="00183143">
        <w:rPr>
          <w:b/>
          <w:bCs/>
          <w:color w:val="000000" w:themeColor="text1"/>
          <w:sz w:val="24"/>
          <w:szCs w:val="24"/>
        </w:rPr>
        <w:lastRenderedPageBreak/>
        <w:t>Recommendation #</w:t>
      </w:r>
      <w:r w:rsidR="00593B66">
        <w:rPr>
          <w:b/>
          <w:bCs/>
          <w:color w:val="000000" w:themeColor="text1"/>
          <w:sz w:val="24"/>
          <w:szCs w:val="24"/>
        </w:rPr>
        <w:t>2</w:t>
      </w:r>
      <w:r w:rsidR="00AC4A28" w:rsidRPr="00183143">
        <w:rPr>
          <w:b/>
          <w:bCs/>
          <w:sz w:val="24"/>
          <w:szCs w:val="24"/>
        </w:rPr>
        <w:t xml:space="preserve"> </w:t>
      </w:r>
      <w:r w:rsidR="00AC4A28" w:rsidRPr="00183143">
        <w:rPr>
          <w:sz w:val="24"/>
          <w:szCs w:val="24"/>
        </w:rPr>
        <w:t xml:space="preserve">- </w:t>
      </w:r>
      <w:r w:rsidR="00AC4A28" w:rsidRPr="00183143">
        <w:rPr>
          <w:b/>
          <w:bCs/>
          <w:sz w:val="24"/>
          <w:szCs w:val="24"/>
        </w:rPr>
        <w:t>To commission an independent study to determine the scale of cost shifting from the W</w:t>
      </w:r>
      <w:r w:rsidR="00A704A7">
        <w:rPr>
          <w:b/>
          <w:bCs/>
          <w:sz w:val="24"/>
          <w:szCs w:val="24"/>
        </w:rPr>
        <w:t>C</w:t>
      </w:r>
      <w:r w:rsidR="00AC4A28" w:rsidRPr="00183143">
        <w:rPr>
          <w:b/>
          <w:bCs/>
          <w:sz w:val="24"/>
          <w:szCs w:val="24"/>
        </w:rPr>
        <w:t xml:space="preserve">B to publicly funded programs. </w:t>
      </w:r>
    </w:p>
    <w:p w14:paraId="54D1E759" w14:textId="3BAF6F32" w:rsidR="00931969" w:rsidRPr="00183143" w:rsidRDefault="00AC4A28" w:rsidP="004959BD">
      <w:pPr>
        <w:pStyle w:val="NormalWeb"/>
      </w:pPr>
      <w:r w:rsidRPr="00183143">
        <w:t>One of the ways that the WSIB reduces their long terms costs is through the process of “deeming” workers to have earnings they don’t have.  We have brought this issue forward to the United Nations under the Convention on the Rights of Persons with a Disability (CRPD)</w:t>
      </w:r>
      <w:r w:rsidRPr="00183143">
        <w:rPr>
          <w:rStyle w:val="FootnoteReference"/>
        </w:rPr>
        <w:footnoteReference w:id="24"/>
      </w:r>
    </w:p>
    <w:p w14:paraId="18588C77" w14:textId="64762CBA" w:rsidR="00153B5A" w:rsidRPr="00183143" w:rsidRDefault="00153B5A" w:rsidP="004959BD">
      <w:pPr>
        <w:pStyle w:val="NormalWeb"/>
      </w:pPr>
      <w:r w:rsidRPr="00183143">
        <w:rPr>
          <w:b/>
          <w:bCs/>
          <w:color w:val="000000" w:themeColor="text1"/>
        </w:rPr>
        <w:t>Recommendation #</w:t>
      </w:r>
      <w:r w:rsidR="00721AF7">
        <w:rPr>
          <w:b/>
          <w:bCs/>
          <w:color w:val="000000" w:themeColor="text1"/>
        </w:rPr>
        <w:t>3</w:t>
      </w:r>
      <w:r w:rsidRPr="00183143">
        <w:rPr>
          <w:b/>
          <w:bCs/>
          <w:color w:val="000000" w:themeColor="text1"/>
        </w:rPr>
        <w:t xml:space="preserve"> – Ensure that the </w:t>
      </w:r>
      <w:r w:rsidR="00300162">
        <w:rPr>
          <w:b/>
          <w:bCs/>
          <w:color w:val="000000" w:themeColor="text1"/>
        </w:rPr>
        <w:t>SI</w:t>
      </w:r>
      <w:r w:rsidRPr="00183143">
        <w:rPr>
          <w:b/>
          <w:bCs/>
          <w:color w:val="000000" w:themeColor="text1"/>
        </w:rPr>
        <w:t>B compensate workers and their families for the actual losses they experience and stop the subsidizing W</w:t>
      </w:r>
      <w:r w:rsidR="00A704A7">
        <w:rPr>
          <w:b/>
          <w:bCs/>
          <w:color w:val="000000" w:themeColor="text1"/>
        </w:rPr>
        <w:t>C</w:t>
      </w:r>
      <w:r w:rsidRPr="00183143">
        <w:rPr>
          <w:b/>
          <w:bCs/>
          <w:color w:val="000000" w:themeColor="text1"/>
        </w:rPr>
        <w:t>B with public dollars.</w:t>
      </w:r>
    </w:p>
    <w:p w14:paraId="5FD25C3E" w14:textId="58021F03" w:rsidR="00990C55" w:rsidRPr="00164A75" w:rsidRDefault="00164A75" w:rsidP="00164A75">
      <w:pPr>
        <w:pStyle w:val="ListParagraph"/>
        <w:numPr>
          <w:ilvl w:val="0"/>
          <w:numId w:val="9"/>
        </w:numPr>
        <w:rPr>
          <w:sz w:val="24"/>
          <w:szCs w:val="24"/>
        </w:rPr>
      </w:pPr>
      <w:r w:rsidRPr="00164A75">
        <w:rPr>
          <w:sz w:val="24"/>
          <w:szCs w:val="24"/>
        </w:rPr>
        <w:t>The deterioration of the Workers Compensation system has long term consequences on Occupational Health &amp; Safety and for workers, their families, and our economy</w:t>
      </w:r>
    </w:p>
    <w:p w14:paraId="7E568023" w14:textId="77777777" w:rsidR="00164A75" w:rsidRPr="00183143" w:rsidRDefault="00164A75" w:rsidP="00990C55">
      <w:pPr>
        <w:rPr>
          <w:sz w:val="24"/>
          <w:szCs w:val="24"/>
        </w:rPr>
      </w:pPr>
    </w:p>
    <w:p w14:paraId="7A02ACD7" w14:textId="0B881AB3" w:rsidR="00A53CB9" w:rsidRPr="00183143" w:rsidRDefault="00A53CB9" w:rsidP="00990C55">
      <w:pPr>
        <w:rPr>
          <w:sz w:val="24"/>
          <w:szCs w:val="24"/>
        </w:rPr>
      </w:pPr>
      <w:r w:rsidRPr="00183143">
        <w:rPr>
          <w:sz w:val="24"/>
          <w:szCs w:val="24"/>
        </w:rPr>
        <w:t>Occupational injuries and illness can create significant costs to workers, their families, and our public services.  Professor Peri Ballantyne did a survey of 492 workers with a permanent disability in conjunction with the Ontario WSIB.  In her letter to the survey respondents in 2010, she shared some of the results of the study.  She wrote:</w:t>
      </w:r>
    </w:p>
    <w:p w14:paraId="47DA243E" w14:textId="77777777" w:rsidR="00A53CB9" w:rsidRPr="00183143" w:rsidRDefault="00A53CB9" w:rsidP="00990C55">
      <w:pPr>
        <w:rPr>
          <w:sz w:val="24"/>
          <w:szCs w:val="24"/>
        </w:rPr>
      </w:pPr>
    </w:p>
    <w:p w14:paraId="4C859586" w14:textId="53ADA685" w:rsidR="00990C55" w:rsidRPr="00183143" w:rsidRDefault="00990C55" w:rsidP="00990C55">
      <w:pPr>
        <w:rPr>
          <w:i/>
          <w:iCs/>
          <w:sz w:val="24"/>
          <w:szCs w:val="24"/>
        </w:rPr>
      </w:pPr>
      <w:r w:rsidRPr="00183143">
        <w:rPr>
          <w:i/>
          <w:iCs/>
          <w:sz w:val="24"/>
          <w:szCs w:val="24"/>
        </w:rPr>
        <w:t xml:space="preserve">75% of said your health is somewhat or much worse than it had been the day before your workplace accident. Fifty percent of you reported that most days are currently quite a bit or extremely stressful, with work or lack of work being a major stressor for 55% and 56% of you, respectfully. Of concern to us is that 77% and 73% of you indicated that your personal health or your financial circumstances were the major sources of stress in your life. </w:t>
      </w:r>
    </w:p>
    <w:p w14:paraId="3BC601CF" w14:textId="77777777" w:rsidR="00990C55" w:rsidRPr="00183143" w:rsidRDefault="00990C55" w:rsidP="00990C55">
      <w:pPr>
        <w:rPr>
          <w:i/>
          <w:iCs/>
          <w:sz w:val="24"/>
          <w:szCs w:val="24"/>
        </w:rPr>
      </w:pPr>
    </w:p>
    <w:p w14:paraId="36402AA8" w14:textId="77777777" w:rsidR="00990C55" w:rsidRPr="00183143" w:rsidRDefault="00990C55" w:rsidP="00990C55">
      <w:pPr>
        <w:rPr>
          <w:i/>
          <w:iCs/>
          <w:sz w:val="24"/>
          <w:szCs w:val="24"/>
        </w:rPr>
      </w:pPr>
      <w:r w:rsidRPr="00183143">
        <w:rPr>
          <w:i/>
          <w:iCs/>
          <w:sz w:val="24"/>
          <w:szCs w:val="24"/>
        </w:rPr>
        <w:t>In terms of chronic health conditions, what stood out to us was the following:</w:t>
      </w:r>
    </w:p>
    <w:p w14:paraId="56B13B4F" w14:textId="77777777" w:rsidR="00990C55" w:rsidRPr="00183143" w:rsidRDefault="00990C55" w:rsidP="00990C55">
      <w:pPr>
        <w:widowControl w:val="0"/>
        <w:numPr>
          <w:ilvl w:val="0"/>
          <w:numId w:val="5"/>
        </w:numPr>
        <w:autoSpaceDE w:val="0"/>
        <w:autoSpaceDN w:val="0"/>
        <w:adjustRightInd w:val="0"/>
        <w:rPr>
          <w:i/>
          <w:iCs/>
          <w:sz w:val="24"/>
          <w:szCs w:val="24"/>
        </w:rPr>
      </w:pPr>
      <w:r w:rsidRPr="00183143">
        <w:rPr>
          <w:i/>
          <w:iCs/>
          <w:sz w:val="24"/>
          <w:szCs w:val="24"/>
        </w:rPr>
        <w:t>55% reported a diagnosis of back pain – for 83% this diagnosis was made after your workplace injury</w:t>
      </w:r>
    </w:p>
    <w:p w14:paraId="683D1C17" w14:textId="77777777" w:rsidR="00990C55" w:rsidRPr="00183143" w:rsidRDefault="00990C55" w:rsidP="00990C55">
      <w:pPr>
        <w:widowControl w:val="0"/>
        <w:numPr>
          <w:ilvl w:val="0"/>
          <w:numId w:val="5"/>
        </w:numPr>
        <w:autoSpaceDE w:val="0"/>
        <w:autoSpaceDN w:val="0"/>
        <w:adjustRightInd w:val="0"/>
        <w:rPr>
          <w:i/>
          <w:iCs/>
          <w:sz w:val="24"/>
          <w:szCs w:val="24"/>
        </w:rPr>
      </w:pPr>
      <w:r w:rsidRPr="00183143">
        <w:rPr>
          <w:i/>
          <w:iCs/>
          <w:sz w:val="24"/>
          <w:szCs w:val="24"/>
        </w:rPr>
        <w:t>49% reported a diagnosis of nerve pain – for 94% this diagnosis was made after your workplace injury</w:t>
      </w:r>
    </w:p>
    <w:p w14:paraId="0B6B88C2" w14:textId="77777777" w:rsidR="00990C55" w:rsidRPr="00183143" w:rsidRDefault="00990C55" w:rsidP="00990C55">
      <w:pPr>
        <w:widowControl w:val="0"/>
        <w:numPr>
          <w:ilvl w:val="0"/>
          <w:numId w:val="5"/>
        </w:numPr>
        <w:autoSpaceDE w:val="0"/>
        <w:autoSpaceDN w:val="0"/>
        <w:adjustRightInd w:val="0"/>
        <w:rPr>
          <w:i/>
          <w:iCs/>
          <w:sz w:val="24"/>
          <w:szCs w:val="24"/>
        </w:rPr>
      </w:pPr>
      <w:r w:rsidRPr="00183143">
        <w:rPr>
          <w:i/>
          <w:iCs/>
          <w:sz w:val="24"/>
          <w:szCs w:val="24"/>
        </w:rPr>
        <w:t>44% reported a diagnosis of a mobility impairment – for 96% this diagnosis was made after your workplace injury</w:t>
      </w:r>
    </w:p>
    <w:p w14:paraId="376A2B41" w14:textId="77777777" w:rsidR="00990C55" w:rsidRPr="00183143" w:rsidRDefault="00990C55" w:rsidP="00990C55">
      <w:pPr>
        <w:widowControl w:val="0"/>
        <w:numPr>
          <w:ilvl w:val="0"/>
          <w:numId w:val="5"/>
        </w:numPr>
        <w:autoSpaceDE w:val="0"/>
        <w:autoSpaceDN w:val="0"/>
        <w:adjustRightInd w:val="0"/>
        <w:rPr>
          <w:i/>
          <w:iCs/>
          <w:sz w:val="24"/>
          <w:szCs w:val="24"/>
        </w:rPr>
      </w:pPr>
      <w:r w:rsidRPr="00183143">
        <w:rPr>
          <w:i/>
          <w:iCs/>
          <w:sz w:val="24"/>
          <w:szCs w:val="24"/>
        </w:rPr>
        <w:t>42% reported a diagnosis of repetitive strain injury (RSI) – for 89% this diagnosis was made after your workplace injury</w:t>
      </w:r>
    </w:p>
    <w:p w14:paraId="7F0A3FF7" w14:textId="77777777" w:rsidR="00990C55" w:rsidRPr="00183143" w:rsidRDefault="00990C55" w:rsidP="00990C55">
      <w:pPr>
        <w:widowControl w:val="0"/>
        <w:numPr>
          <w:ilvl w:val="0"/>
          <w:numId w:val="5"/>
        </w:numPr>
        <w:autoSpaceDE w:val="0"/>
        <w:autoSpaceDN w:val="0"/>
        <w:adjustRightInd w:val="0"/>
        <w:rPr>
          <w:i/>
          <w:iCs/>
          <w:sz w:val="24"/>
          <w:szCs w:val="24"/>
        </w:rPr>
      </w:pPr>
      <w:r w:rsidRPr="00183143">
        <w:rPr>
          <w:i/>
          <w:iCs/>
          <w:sz w:val="24"/>
          <w:szCs w:val="24"/>
        </w:rPr>
        <w:t>41% of you reported a diagnosis of arthritis – for 72% this diagnosis was made after your workplace injury</w:t>
      </w:r>
    </w:p>
    <w:p w14:paraId="4744E163" w14:textId="77777777" w:rsidR="00990C55" w:rsidRPr="00183143" w:rsidRDefault="00990C55" w:rsidP="00990C55">
      <w:pPr>
        <w:widowControl w:val="0"/>
        <w:numPr>
          <w:ilvl w:val="0"/>
          <w:numId w:val="5"/>
        </w:numPr>
        <w:autoSpaceDE w:val="0"/>
        <w:autoSpaceDN w:val="0"/>
        <w:adjustRightInd w:val="0"/>
        <w:rPr>
          <w:i/>
          <w:iCs/>
          <w:sz w:val="24"/>
          <w:szCs w:val="24"/>
        </w:rPr>
      </w:pPr>
      <w:r w:rsidRPr="00183143">
        <w:rPr>
          <w:i/>
          <w:iCs/>
          <w:sz w:val="24"/>
          <w:szCs w:val="24"/>
        </w:rPr>
        <w:t>40% reported a diagnosis of depression – for 80% this diagnosis was made after your workplace injury</w:t>
      </w:r>
    </w:p>
    <w:p w14:paraId="38877A24" w14:textId="77777777" w:rsidR="00990C55" w:rsidRPr="00183143" w:rsidRDefault="00990C55" w:rsidP="00990C55">
      <w:pPr>
        <w:widowControl w:val="0"/>
        <w:numPr>
          <w:ilvl w:val="0"/>
          <w:numId w:val="5"/>
        </w:numPr>
        <w:autoSpaceDE w:val="0"/>
        <w:autoSpaceDN w:val="0"/>
        <w:adjustRightInd w:val="0"/>
        <w:rPr>
          <w:i/>
          <w:iCs/>
          <w:sz w:val="24"/>
          <w:szCs w:val="24"/>
        </w:rPr>
      </w:pPr>
      <w:r w:rsidRPr="00183143">
        <w:rPr>
          <w:i/>
          <w:iCs/>
          <w:sz w:val="24"/>
          <w:szCs w:val="24"/>
        </w:rPr>
        <w:t xml:space="preserve">39% reported a diagnosis of </w:t>
      </w:r>
      <w:proofErr w:type="spellStart"/>
      <w:r w:rsidRPr="00183143">
        <w:rPr>
          <w:i/>
          <w:iCs/>
          <w:sz w:val="24"/>
          <w:szCs w:val="24"/>
        </w:rPr>
        <w:t>musculo</w:t>
      </w:r>
      <w:proofErr w:type="spellEnd"/>
      <w:r w:rsidRPr="00183143">
        <w:rPr>
          <w:i/>
          <w:iCs/>
          <w:sz w:val="24"/>
          <w:szCs w:val="24"/>
        </w:rPr>
        <w:t>-skeletal pain – for 92% this diagnosis was made after your workplace injury</w:t>
      </w:r>
    </w:p>
    <w:p w14:paraId="4065957D" w14:textId="77777777" w:rsidR="00990C55" w:rsidRPr="00183143" w:rsidRDefault="00990C55" w:rsidP="00990C55">
      <w:pPr>
        <w:widowControl w:val="0"/>
        <w:numPr>
          <w:ilvl w:val="0"/>
          <w:numId w:val="5"/>
        </w:numPr>
        <w:autoSpaceDE w:val="0"/>
        <w:autoSpaceDN w:val="0"/>
        <w:adjustRightInd w:val="0"/>
        <w:rPr>
          <w:i/>
          <w:iCs/>
          <w:sz w:val="24"/>
          <w:szCs w:val="24"/>
        </w:rPr>
      </w:pPr>
      <w:r w:rsidRPr="00183143">
        <w:rPr>
          <w:i/>
          <w:iCs/>
          <w:sz w:val="24"/>
          <w:szCs w:val="24"/>
        </w:rPr>
        <w:t>26% reported a diagnosis of high blood pressure – for 65% this diagnosis was made after your workplace injury</w:t>
      </w:r>
    </w:p>
    <w:p w14:paraId="1424B128" w14:textId="77777777" w:rsidR="00990C55" w:rsidRPr="00183143" w:rsidRDefault="00990C55" w:rsidP="00990C55">
      <w:pPr>
        <w:rPr>
          <w:i/>
          <w:iCs/>
          <w:sz w:val="24"/>
          <w:szCs w:val="24"/>
        </w:rPr>
      </w:pPr>
    </w:p>
    <w:p w14:paraId="5EAD0FB7" w14:textId="77777777" w:rsidR="00990C55" w:rsidRPr="00183143" w:rsidRDefault="00990C55" w:rsidP="00990C55">
      <w:pPr>
        <w:rPr>
          <w:i/>
          <w:iCs/>
          <w:sz w:val="24"/>
          <w:szCs w:val="24"/>
        </w:rPr>
      </w:pPr>
      <w:r w:rsidRPr="00183143">
        <w:rPr>
          <w:i/>
          <w:iCs/>
          <w:sz w:val="24"/>
          <w:szCs w:val="24"/>
        </w:rPr>
        <w:lastRenderedPageBreak/>
        <w:t xml:space="preserve">In addition to the above diagnosed problems, </w:t>
      </w:r>
      <w:r w:rsidRPr="00183143" w:rsidDel="00C57CB3">
        <w:rPr>
          <w:i/>
          <w:iCs/>
          <w:sz w:val="24"/>
          <w:szCs w:val="24"/>
        </w:rPr>
        <w:t>m</w:t>
      </w:r>
      <w:r w:rsidRPr="00183143">
        <w:rPr>
          <w:i/>
          <w:iCs/>
          <w:sz w:val="24"/>
          <w:szCs w:val="24"/>
        </w:rPr>
        <w:t xml:space="preserve">any of you reported the following additional difficulties: </w:t>
      </w:r>
    </w:p>
    <w:p w14:paraId="3040C48F" w14:textId="77777777" w:rsidR="00990C55" w:rsidRPr="00183143" w:rsidRDefault="00990C55" w:rsidP="00990C55">
      <w:pPr>
        <w:widowControl w:val="0"/>
        <w:numPr>
          <w:ilvl w:val="0"/>
          <w:numId w:val="6"/>
        </w:numPr>
        <w:autoSpaceDE w:val="0"/>
        <w:autoSpaceDN w:val="0"/>
        <w:adjustRightInd w:val="0"/>
        <w:rPr>
          <w:i/>
          <w:iCs/>
          <w:sz w:val="24"/>
          <w:szCs w:val="24"/>
        </w:rPr>
      </w:pPr>
      <w:r w:rsidRPr="00183143">
        <w:rPr>
          <w:i/>
          <w:iCs/>
          <w:sz w:val="24"/>
          <w:szCs w:val="24"/>
        </w:rPr>
        <w:t>74% of you reported having problems sleeping</w:t>
      </w:r>
    </w:p>
    <w:p w14:paraId="3FC17D10" w14:textId="77777777" w:rsidR="00990C55" w:rsidRPr="00183143" w:rsidRDefault="00990C55" w:rsidP="00990C55">
      <w:pPr>
        <w:widowControl w:val="0"/>
        <w:numPr>
          <w:ilvl w:val="0"/>
          <w:numId w:val="6"/>
        </w:numPr>
        <w:autoSpaceDE w:val="0"/>
        <w:autoSpaceDN w:val="0"/>
        <w:adjustRightInd w:val="0"/>
        <w:rPr>
          <w:i/>
          <w:iCs/>
          <w:sz w:val="24"/>
          <w:szCs w:val="24"/>
        </w:rPr>
      </w:pPr>
      <w:r w:rsidRPr="00183143">
        <w:rPr>
          <w:i/>
          <w:iCs/>
          <w:sz w:val="24"/>
          <w:szCs w:val="24"/>
        </w:rPr>
        <w:t xml:space="preserve">69% of you reported having numbness in the limbs </w:t>
      </w:r>
    </w:p>
    <w:p w14:paraId="7CE7A3DA" w14:textId="77777777" w:rsidR="00990C55" w:rsidRPr="00183143" w:rsidRDefault="00990C55" w:rsidP="00990C55">
      <w:pPr>
        <w:widowControl w:val="0"/>
        <w:numPr>
          <w:ilvl w:val="0"/>
          <w:numId w:val="6"/>
        </w:numPr>
        <w:autoSpaceDE w:val="0"/>
        <w:autoSpaceDN w:val="0"/>
        <w:adjustRightInd w:val="0"/>
        <w:rPr>
          <w:i/>
          <w:iCs/>
          <w:sz w:val="24"/>
          <w:szCs w:val="24"/>
        </w:rPr>
      </w:pPr>
      <w:r w:rsidRPr="00183143">
        <w:rPr>
          <w:i/>
          <w:iCs/>
          <w:sz w:val="24"/>
          <w:szCs w:val="24"/>
        </w:rPr>
        <w:t xml:space="preserve">66% of you experienced stigma as an injured worker: </w:t>
      </w:r>
    </w:p>
    <w:p w14:paraId="5D85E89D" w14:textId="77777777" w:rsidR="00990C55" w:rsidRPr="00183143" w:rsidRDefault="00990C55" w:rsidP="00990C55">
      <w:pPr>
        <w:widowControl w:val="0"/>
        <w:numPr>
          <w:ilvl w:val="1"/>
          <w:numId w:val="6"/>
        </w:numPr>
        <w:autoSpaceDE w:val="0"/>
        <w:autoSpaceDN w:val="0"/>
        <w:adjustRightInd w:val="0"/>
        <w:rPr>
          <w:i/>
          <w:iCs/>
          <w:sz w:val="24"/>
          <w:szCs w:val="24"/>
        </w:rPr>
      </w:pPr>
      <w:r w:rsidRPr="00183143">
        <w:rPr>
          <w:i/>
          <w:iCs/>
          <w:sz w:val="24"/>
          <w:szCs w:val="24"/>
        </w:rPr>
        <w:t xml:space="preserve">from a co-worker (69%), </w:t>
      </w:r>
    </w:p>
    <w:p w14:paraId="7539C9FD" w14:textId="77777777" w:rsidR="00990C55" w:rsidRPr="00183143" w:rsidRDefault="00990C55" w:rsidP="00990C55">
      <w:pPr>
        <w:widowControl w:val="0"/>
        <w:numPr>
          <w:ilvl w:val="1"/>
          <w:numId w:val="6"/>
        </w:numPr>
        <w:autoSpaceDE w:val="0"/>
        <w:autoSpaceDN w:val="0"/>
        <w:adjustRightInd w:val="0"/>
        <w:rPr>
          <w:i/>
          <w:iCs/>
          <w:sz w:val="24"/>
          <w:szCs w:val="24"/>
        </w:rPr>
      </w:pPr>
      <w:r w:rsidRPr="00183143">
        <w:rPr>
          <w:i/>
          <w:iCs/>
          <w:sz w:val="24"/>
          <w:szCs w:val="24"/>
        </w:rPr>
        <w:t>from a work supervisor (61%)</w:t>
      </w:r>
    </w:p>
    <w:p w14:paraId="4506F1E3" w14:textId="77777777" w:rsidR="00990C55" w:rsidRPr="00183143" w:rsidRDefault="00990C55" w:rsidP="00990C55">
      <w:pPr>
        <w:widowControl w:val="0"/>
        <w:numPr>
          <w:ilvl w:val="1"/>
          <w:numId w:val="6"/>
        </w:numPr>
        <w:autoSpaceDE w:val="0"/>
        <w:autoSpaceDN w:val="0"/>
        <w:adjustRightInd w:val="0"/>
        <w:rPr>
          <w:i/>
          <w:iCs/>
          <w:sz w:val="24"/>
          <w:szCs w:val="24"/>
        </w:rPr>
      </w:pPr>
      <w:r w:rsidRPr="00183143">
        <w:rPr>
          <w:i/>
          <w:iCs/>
          <w:sz w:val="24"/>
          <w:szCs w:val="24"/>
        </w:rPr>
        <w:t>from WSIB staff (60%)</w:t>
      </w:r>
    </w:p>
    <w:p w14:paraId="367A586C" w14:textId="77777777" w:rsidR="00990C55" w:rsidRPr="00183143" w:rsidRDefault="00990C55" w:rsidP="00990C55">
      <w:pPr>
        <w:widowControl w:val="0"/>
        <w:numPr>
          <w:ilvl w:val="1"/>
          <w:numId w:val="6"/>
        </w:numPr>
        <w:autoSpaceDE w:val="0"/>
        <w:autoSpaceDN w:val="0"/>
        <w:adjustRightInd w:val="0"/>
        <w:rPr>
          <w:i/>
          <w:iCs/>
          <w:sz w:val="24"/>
          <w:szCs w:val="24"/>
        </w:rPr>
      </w:pPr>
      <w:r w:rsidRPr="00183143">
        <w:rPr>
          <w:i/>
          <w:iCs/>
          <w:sz w:val="24"/>
          <w:szCs w:val="24"/>
        </w:rPr>
        <w:t>from a medical doctor (31%)</w:t>
      </w:r>
    </w:p>
    <w:p w14:paraId="0E9F019A" w14:textId="77777777" w:rsidR="00990C55" w:rsidRPr="00183143" w:rsidRDefault="00990C55" w:rsidP="00990C55">
      <w:pPr>
        <w:widowControl w:val="0"/>
        <w:numPr>
          <w:ilvl w:val="1"/>
          <w:numId w:val="6"/>
        </w:numPr>
        <w:autoSpaceDE w:val="0"/>
        <w:autoSpaceDN w:val="0"/>
        <w:adjustRightInd w:val="0"/>
        <w:rPr>
          <w:i/>
          <w:iCs/>
          <w:sz w:val="24"/>
          <w:szCs w:val="24"/>
        </w:rPr>
      </w:pPr>
      <w:r w:rsidRPr="00183143">
        <w:rPr>
          <w:i/>
          <w:iCs/>
          <w:sz w:val="24"/>
          <w:szCs w:val="24"/>
        </w:rPr>
        <w:t>from a prospective employer (26.5%)</w:t>
      </w:r>
    </w:p>
    <w:p w14:paraId="050D26AC" w14:textId="77777777" w:rsidR="00990C55" w:rsidRPr="00183143" w:rsidRDefault="00990C55" w:rsidP="00990C55">
      <w:pPr>
        <w:widowControl w:val="0"/>
        <w:numPr>
          <w:ilvl w:val="0"/>
          <w:numId w:val="6"/>
        </w:numPr>
        <w:autoSpaceDE w:val="0"/>
        <w:autoSpaceDN w:val="0"/>
        <w:adjustRightInd w:val="0"/>
        <w:rPr>
          <w:i/>
          <w:iCs/>
          <w:sz w:val="24"/>
          <w:szCs w:val="24"/>
        </w:rPr>
      </w:pPr>
      <w:r w:rsidRPr="00183143">
        <w:rPr>
          <w:i/>
          <w:iCs/>
          <w:sz w:val="24"/>
          <w:szCs w:val="24"/>
        </w:rPr>
        <w:t xml:space="preserve">48% reported having problems concentrating </w:t>
      </w:r>
    </w:p>
    <w:p w14:paraId="64915106" w14:textId="77777777" w:rsidR="00990C55" w:rsidRPr="00183143" w:rsidRDefault="00990C55" w:rsidP="00990C55">
      <w:pPr>
        <w:widowControl w:val="0"/>
        <w:numPr>
          <w:ilvl w:val="0"/>
          <w:numId w:val="6"/>
        </w:numPr>
        <w:autoSpaceDE w:val="0"/>
        <w:autoSpaceDN w:val="0"/>
        <w:adjustRightInd w:val="0"/>
        <w:rPr>
          <w:i/>
          <w:iCs/>
          <w:sz w:val="24"/>
          <w:szCs w:val="24"/>
        </w:rPr>
      </w:pPr>
      <w:r w:rsidRPr="00183143">
        <w:rPr>
          <w:i/>
          <w:iCs/>
          <w:sz w:val="24"/>
          <w:szCs w:val="24"/>
        </w:rPr>
        <w:t>38% of you reported having an anxiety problem</w:t>
      </w:r>
    </w:p>
    <w:p w14:paraId="35DE4A64" w14:textId="77777777" w:rsidR="00990C55" w:rsidRPr="00183143" w:rsidRDefault="00990C55" w:rsidP="00990C55">
      <w:pPr>
        <w:rPr>
          <w:i/>
          <w:iCs/>
          <w:sz w:val="24"/>
          <w:szCs w:val="24"/>
        </w:rPr>
      </w:pPr>
    </w:p>
    <w:p w14:paraId="2BD8B7CB" w14:textId="77777777" w:rsidR="00990C55" w:rsidRPr="00183143" w:rsidRDefault="00990C55" w:rsidP="00990C55">
      <w:pPr>
        <w:rPr>
          <w:i/>
          <w:iCs/>
          <w:sz w:val="24"/>
          <w:szCs w:val="24"/>
        </w:rPr>
      </w:pPr>
      <w:r w:rsidRPr="00183143">
        <w:rPr>
          <w:i/>
          <w:iCs/>
          <w:sz w:val="24"/>
          <w:szCs w:val="24"/>
        </w:rPr>
        <w:t xml:space="preserve">In terms of health care, we note that 36% of you had been hospitalized during the 5 years prior to your completion of the survey – 63% of you as a result of your workplace injury. Twenty-three percent of you reported having been hospitalized during the year before you completed the survey – a third of these hospitalizations were reported to be the result of workplace injuries. Despite the complex health conditions reported, 17% of you had no contact with a general practitioner or family doctor ‘in the past year’ (in the year prior to the survey). </w:t>
      </w:r>
    </w:p>
    <w:p w14:paraId="340FBBF1" w14:textId="77777777" w:rsidR="00990C55" w:rsidRPr="00183143" w:rsidRDefault="00990C55" w:rsidP="00990C55">
      <w:pPr>
        <w:rPr>
          <w:i/>
          <w:iCs/>
          <w:sz w:val="24"/>
          <w:szCs w:val="24"/>
        </w:rPr>
      </w:pPr>
    </w:p>
    <w:p w14:paraId="5AA9D42E" w14:textId="77777777" w:rsidR="00990C55" w:rsidRPr="00183143" w:rsidRDefault="00990C55" w:rsidP="00990C55">
      <w:pPr>
        <w:rPr>
          <w:i/>
          <w:iCs/>
          <w:sz w:val="24"/>
          <w:szCs w:val="24"/>
        </w:rPr>
      </w:pPr>
      <w:r w:rsidRPr="00183143">
        <w:rPr>
          <w:i/>
          <w:iCs/>
          <w:sz w:val="24"/>
          <w:szCs w:val="24"/>
        </w:rPr>
        <w:t xml:space="preserve">Forty percent of you indicated that during the past 12 months, you had experienced a need for health care that you were unable to receive; </w:t>
      </w:r>
    </w:p>
    <w:p w14:paraId="403DDB6D" w14:textId="77777777" w:rsidR="00990C55" w:rsidRPr="00183143" w:rsidRDefault="00990C55" w:rsidP="00990C55">
      <w:pPr>
        <w:widowControl w:val="0"/>
        <w:numPr>
          <w:ilvl w:val="0"/>
          <w:numId w:val="7"/>
        </w:numPr>
        <w:autoSpaceDE w:val="0"/>
        <w:autoSpaceDN w:val="0"/>
        <w:adjustRightInd w:val="0"/>
        <w:rPr>
          <w:i/>
          <w:iCs/>
          <w:sz w:val="24"/>
          <w:szCs w:val="24"/>
        </w:rPr>
      </w:pPr>
      <w:r w:rsidRPr="00183143">
        <w:rPr>
          <w:i/>
          <w:iCs/>
          <w:sz w:val="24"/>
          <w:szCs w:val="24"/>
        </w:rPr>
        <w:t>78% of you reported that in the past 12 months, you needed but did not get treatment for a physical health problem</w:t>
      </w:r>
    </w:p>
    <w:p w14:paraId="2017C1F6" w14:textId="02472859" w:rsidR="00990C55" w:rsidRPr="00183143" w:rsidRDefault="00990C55" w:rsidP="00990C55">
      <w:pPr>
        <w:widowControl w:val="0"/>
        <w:numPr>
          <w:ilvl w:val="0"/>
          <w:numId w:val="7"/>
        </w:numPr>
        <w:autoSpaceDE w:val="0"/>
        <w:autoSpaceDN w:val="0"/>
        <w:adjustRightInd w:val="0"/>
        <w:rPr>
          <w:i/>
          <w:iCs/>
          <w:sz w:val="24"/>
          <w:szCs w:val="24"/>
        </w:rPr>
      </w:pPr>
      <w:r w:rsidRPr="00183143">
        <w:rPr>
          <w:i/>
          <w:iCs/>
          <w:sz w:val="24"/>
          <w:szCs w:val="24"/>
        </w:rPr>
        <w:t>24% needed b</w:t>
      </w:r>
      <w:r w:rsidR="00A53CB9" w:rsidRPr="00183143">
        <w:rPr>
          <w:i/>
          <w:iCs/>
          <w:sz w:val="24"/>
          <w:szCs w:val="24"/>
        </w:rPr>
        <w:t>ut</w:t>
      </w:r>
      <w:r w:rsidRPr="00183143">
        <w:rPr>
          <w:i/>
          <w:iCs/>
          <w:sz w:val="24"/>
          <w:szCs w:val="24"/>
        </w:rPr>
        <w:t xml:space="preserve"> did not get treatment for an emotional or mental health problem. </w:t>
      </w:r>
    </w:p>
    <w:p w14:paraId="4A78BA48" w14:textId="77777777" w:rsidR="00990C55" w:rsidRPr="00183143" w:rsidRDefault="00990C55" w:rsidP="00990C55">
      <w:pPr>
        <w:rPr>
          <w:i/>
          <w:iCs/>
          <w:sz w:val="24"/>
          <w:szCs w:val="24"/>
        </w:rPr>
      </w:pPr>
    </w:p>
    <w:p w14:paraId="148F33AD" w14:textId="77777777" w:rsidR="00990C55" w:rsidRPr="00183143" w:rsidRDefault="00990C55" w:rsidP="00990C55">
      <w:pPr>
        <w:rPr>
          <w:i/>
          <w:iCs/>
          <w:sz w:val="24"/>
          <w:szCs w:val="24"/>
        </w:rPr>
      </w:pPr>
      <w:r w:rsidRPr="00183143">
        <w:rPr>
          <w:i/>
          <w:iCs/>
          <w:sz w:val="24"/>
          <w:szCs w:val="24"/>
        </w:rPr>
        <w:t xml:space="preserve">Eighty percent of you reported using medications on a regular basis (at least once a week), and 61% reported regularly using 4 or more medical drugs. Twenty-three percent of you indicated that in the past 12 months, you had been unable to get medications, or used them less often than directed (25%), because of the cost. Forty-one and a half percent of you indicated you did not use a medication you were directed to use, because of the side-effects.   </w:t>
      </w:r>
    </w:p>
    <w:p w14:paraId="54BE2D51" w14:textId="77777777" w:rsidR="00990C55" w:rsidRPr="00183143" w:rsidRDefault="00990C55" w:rsidP="00990C55">
      <w:pPr>
        <w:rPr>
          <w:i/>
          <w:iCs/>
          <w:sz w:val="24"/>
          <w:szCs w:val="24"/>
        </w:rPr>
      </w:pPr>
    </w:p>
    <w:p w14:paraId="1EDD627B" w14:textId="77777777" w:rsidR="00990C55" w:rsidRPr="00183143" w:rsidRDefault="00990C55" w:rsidP="00990C55">
      <w:pPr>
        <w:rPr>
          <w:i/>
          <w:iCs/>
          <w:sz w:val="24"/>
          <w:szCs w:val="24"/>
        </w:rPr>
      </w:pPr>
      <w:r w:rsidRPr="00183143">
        <w:rPr>
          <w:i/>
          <w:iCs/>
          <w:sz w:val="24"/>
          <w:szCs w:val="24"/>
        </w:rPr>
        <w:t xml:space="preserve">Since the workplace injury, 40% of you reported having experienced period(s) of unemployment. At the time the survey took place, 55% of you reported being currently employed (mostly in a single job rather than multiple jobs; about half in the same or a very similar job to the pre-injury job; and about half of you with the pre-injury employer).Thirty eight percent of you reported being currently unemployed, with a large proportion of you (78%) indicating that a health condition or disability affects your current ability to look for work.  </w:t>
      </w:r>
    </w:p>
    <w:p w14:paraId="4391104F" w14:textId="21D6DFA4" w:rsidR="00931969" w:rsidRPr="00183143" w:rsidRDefault="00A53CB9" w:rsidP="004959BD">
      <w:pPr>
        <w:pStyle w:val="NormalWeb"/>
      </w:pPr>
      <w:r w:rsidRPr="00183143">
        <w:t xml:space="preserve">You can clearly see that </w:t>
      </w:r>
      <w:r w:rsidR="00DF6A83" w:rsidRPr="00183143">
        <w:t>most of these workers with serious, lifelong injuries and diseases were in need of ongoing health care and income support.  Much of these costs are being covered in our public services.</w:t>
      </w:r>
    </w:p>
    <w:p w14:paraId="25DA172F" w14:textId="0C429037" w:rsidR="00DF6A83" w:rsidRPr="00183143" w:rsidRDefault="00DF6A83" w:rsidP="004959BD">
      <w:pPr>
        <w:pStyle w:val="NormalWeb"/>
      </w:pPr>
      <w:r w:rsidRPr="00183143">
        <w:t xml:space="preserve">Along with the suffering of these workers and their families, there is a loss to our economy.  At a time when there are labour shortages across </w:t>
      </w:r>
      <w:r w:rsidR="00A704A7">
        <w:t>Canada</w:t>
      </w:r>
      <w:r w:rsidRPr="00183143">
        <w:t xml:space="preserve">, so many of these workers who have existing skills and work experience are left behind.  According to </w:t>
      </w:r>
      <w:r w:rsidR="00627E09" w:rsidRPr="00183143">
        <w:t>StatsCan</w:t>
      </w:r>
      <w:r w:rsidRPr="00183143">
        <w:t xml:space="preserve">, there are over </w:t>
      </w:r>
      <w:r w:rsidR="00A704A7">
        <w:t>1,0</w:t>
      </w:r>
      <w:r w:rsidRPr="00183143">
        <w:t xml:space="preserve">00,000 </w:t>
      </w:r>
      <w:r w:rsidRPr="00183143">
        <w:lastRenderedPageBreak/>
        <w:t xml:space="preserve">people with a work acquired disability in </w:t>
      </w:r>
      <w:r w:rsidR="00A704A7">
        <w:t>Canada</w:t>
      </w:r>
      <w:r w:rsidRPr="00183143">
        <w:t xml:space="preserve">.  </w:t>
      </w:r>
      <w:r w:rsidR="00627E09" w:rsidRPr="00183143">
        <w:t>If 40% of these are unemployed, that is 4</w:t>
      </w:r>
      <w:r w:rsidR="00A704A7">
        <w:t>0</w:t>
      </w:r>
      <w:r w:rsidR="00627E09" w:rsidRPr="00183143">
        <w:t>0,000 workers making up part of t</w:t>
      </w:r>
      <w:r w:rsidR="00A704A7">
        <w:t>h</w:t>
      </w:r>
      <w:r w:rsidR="00627E09" w:rsidRPr="00183143">
        <w:t xml:space="preserve">at labour shortage.  </w:t>
      </w:r>
    </w:p>
    <w:p w14:paraId="1BC80BD4" w14:textId="77868372" w:rsidR="00627E09" w:rsidRPr="00183143" w:rsidRDefault="00627E09" w:rsidP="004959BD">
      <w:pPr>
        <w:pStyle w:val="NormalWeb"/>
      </w:pPr>
      <w:r w:rsidRPr="00183143">
        <w:t>What is then the impact of loss income tax revenue?  Assuming average income tax at $</w:t>
      </w:r>
      <w:r w:rsidR="0008269D">
        <w:t>1</w:t>
      </w:r>
      <w:r w:rsidRPr="00183143">
        <w:t>5,000 per worker, that translates into $</w:t>
      </w:r>
      <w:r w:rsidR="0008269D">
        <w:t>6</w:t>
      </w:r>
      <w:r w:rsidRPr="00183143">
        <w:t xml:space="preserve"> Billion </w:t>
      </w:r>
      <w:r w:rsidR="0052116D">
        <w:t xml:space="preserve">annual </w:t>
      </w:r>
      <w:r w:rsidRPr="00183143">
        <w:t xml:space="preserve">loss revenue that could be available to the provincial </w:t>
      </w:r>
      <w:r w:rsidR="0008269D">
        <w:t xml:space="preserve">&amp; federal </w:t>
      </w:r>
      <w:r w:rsidRPr="00183143">
        <w:t>budget</w:t>
      </w:r>
      <w:r w:rsidR="0008269D">
        <w:t>s</w:t>
      </w:r>
      <w:r w:rsidRPr="00183143">
        <w:t>.</w:t>
      </w:r>
    </w:p>
    <w:p w14:paraId="4E1DD6B5" w14:textId="35741A6B" w:rsidR="00627E09" w:rsidRPr="00183143" w:rsidRDefault="00627E09" w:rsidP="004959BD">
      <w:pPr>
        <w:pStyle w:val="NormalWeb"/>
      </w:pPr>
      <w:r w:rsidRPr="00183143">
        <w:t xml:space="preserve">What makes this even worse is the </w:t>
      </w:r>
      <w:r w:rsidR="00172ADF" w:rsidRPr="00183143">
        <w:t>long-term</w:t>
      </w:r>
      <w:r w:rsidRPr="00183143">
        <w:t xml:space="preserve"> consequences to all of us.  As the WSIB makes the system less costly to corporations, they have less of an incentive to invest on occupational health and </w:t>
      </w:r>
      <w:r w:rsidR="00A704A7" w:rsidRPr="00183143">
        <w:t>safety (</w:t>
      </w:r>
      <w:r w:rsidR="00414A26" w:rsidRPr="00183143">
        <w:t>OH&amp;S)</w:t>
      </w:r>
      <w:r w:rsidRPr="00183143">
        <w:t xml:space="preserve">.  </w:t>
      </w:r>
      <w:r w:rsidR="00A704A7" w:rsidRPr="00183143">
        <w:t>The result</w:t>
      </w:r>
      <w:r w:rsidR="007B4119" w:rsidRPr="00183143">
        <w:t xml:space="preserve"> is an increase in workplace injuries and diseases.  Lost time claims rose by 151% between 2019 and 2023.</w:t>
      </w:r>
      <w:r w:rsidR="007B4119" w:rsidRPr="00183143">
        <w:rPr>
          <w:rStyle w:val="FootnoteReference"/>
        </w:rPr>
        <w:footnoteReference w:id="25"/>
      </w:r>
    </w:p>
    <w:p w14:paraId="0F21D3F3" w14:textId="5702FD1D" w:rsidR="001828A5" w:rsidRPr="00183143" w:rsidRDefault="007B4119" w:rsidP="004959BD">
      <w:pPr>
        <w:pStyle w:val="NormalWeb"/>
      </w:pPr>
      <w:r w:rsidRPr="00183143">
        <w:t>Along with this major increase in injuries and illness, we are seeing a high incidence of not reporting injuries to the WSIB</w:t>
      </w:r>
      <w:r w:rsidR="00414A26" w:rsidRPr="00183143">
        <w:t xml:space="preserve"> (as noted previously)</w:t>
      </w:r>
      <w:r w:rsidRPr="00183143">
        <w:t>.  This lack of reporting and documenting these accidents</w:t>
      </w:r>
      <w:r w:rsidR="00973C2C" w:rsidRPr="00183143">
        <w:t xml:space="preserve"> is counter to good </w:t>
      </w:r>
      <w:r w:rsidR="00414A26" w:rsidRPr="00183143">
        <w:t>OH&amp;S practices which based their risk abatement practices on reported injuries and illnesses.  No injuries reported, no corrective action taken, more injuries to follow.</w:t>
      </w:r>
    </w:p>
    <w:p w14:paraId="0DC1B07F" w14:textId="62B50EBB" w:rsidR="001828A5" w:rsidRPr="00183143" w:rsidRDefault="001828A5" w:rsidP="004959BD">
      <w:pPr>
        <w:pStyle w:val="NormalWeb"/>
      </w:pPr>
      <w:r w:rsidRPr="00183143">
        <w:t>You can see this is a worsening problem for all of us.</w:t>
      </w:r>
    </w:p>
    <w:p w14:paraId="231C23A0" w14:textId="50A9DD06" w:rsidR="001828A5" w:rsidRPr="00183143" w:rsidRDefault="001828A5" w:rsidP="004959BD">
      <w:pPr>
        <w:pStyle w:val="NormalWeb"/>
        <w:rPr>
          <w:b/>
          <w:bCs/>
        </w:rPr>
      </w:pPr>
      <w:r w:rsidRPr="00183143">
        <w:rPr>
          <w:b/>
          <w:bCs/>
        </w:rPr>
        <w:t>Recommendation #</w:t>
      </w:r>
      <w:r w:rsidR="00D468AC">
        <w:rPr>
          <w:b/>
          <w:bCs/>
        </w:rPr>
        <w:t>4</w:t>
      </w:r>
      <w:r w:rsidRPr="00183143">
        <w:rPr>
          <w:b/>
          <w:bCs/>
        </w:rPr>
        <w:t xml:space="preserve"> – Institute a public awareness campaign to encourage the reporting by workplace parties of all injuries or diseases that may be work related.</w:t>
      </w:r>
    </w:p>
    <w:p w14:paraId="4B8909D8" w14:textId="1D808F0C" w:rsidR="001A5C07" w:rsidRPr="002E2488" w:rsidRDefault="001A5C07" w:rsidP="004959BD">
      <w:pPr>
        <w:pStyle w:val="NormalWeb"/>
        <w:rPr>
          <w:b/>
          <w:bCs/>
          <w:color w:val="000000" w:themeColor="text1"/>
        </w:rPr>
      </w:pPr>
      <w:r w:rsidRPr="00183143">
        <w:rPr>
          <w:b/>
          <w:bCs/>
          <w:color w:val="000000" w:themeColor="text1"/>
        </w:rPr>
        <w:t>Recommendation #</w:t>
      </w:r>
      <w:r w:rsidR="00D468AC">
        <w:rPr>
          <w:b/>
          <w:bCs/>
          <w:color w:val="000000" w:themeColor="text1"/>
        </w:rPr>
        <w:t>5</w:t>
      </w:r>
      <w:r w:rsidRPr="00183143">
        <w:rPr>
          <w:b/>
          <w:bCs/>
          <w:color w:val="000000" w:themeColor="text1"/>
        </w:rPr>
        <w:t xml:space="preserve"> – Establish an independent agency to track long term outcomes for </w:t>
      </w:r>
      <w:r w:rsidRPr="002E2488">
        <w:rPr>
          <w:b/>
          <w:bCs/>
          <w:color w:val="000000" w:themeColor="text1"/>
        </w:rPr>
        <w:t>workers with permanent disabilities and their families.</w:t>
      </w:r>
    </w:p>
    <w:p w14:paraId="164126D1" w14:textId="5FEB3B25" w:rsidR="002E2488" w:rsidRDefault="002E2488" w:rsidP="004959BD">
      <w:pPr>
        <w:pStyle w:val="NormalWeb"/>
        <w:rPr>
          <w:color w:val="333333"/>
          <w:lang w:val="en-US"/>
        </w:rPr>
      </w:pPr>
      <w:r>
        <w:rPr>
          <w:color w:val="333333"/>
          <w:lang w:val="en-US"/>
        </w:rPr>
        <w:t>Occupational diseases are one of the most pressing issues in need of reform in workers compensation.</w:t>
      </w:r>
    </w:p>
    <w:p w14:paraId="5CE12EC4" w14:textId="524FA21E" w:rsidR="001A5C07" w:rsidRDefault="002E2488" w:rsidP="004959BD">
      <w:pPr>
        <w:pStyle w:val="NormalWeb"/>
        <w:rPr>
          <w:color w:val="333333"/>
          <w:lang w:val="en-US"/>
        </w:rPr>
      </w:pPr>
      <w:r w:rsidRPr="002E2488">
        <w:rPr>
          <w:color w:val="333333"/>
          <w:lang w:val="en-US"/>
        </w:rPr>
        <w:t xml:space="preserve">On July 7, </w:t>
      </w:r>
      <w:r w:rsidR="00172ADF" w:rsidRPr="002E2488">
        <w:rPr>
          <w:color w:val="333333"/>
          <w:lang w:val="en-US"/>
        </w:rPr>
        <w:t>2020,</w:t>
      </w:r>
      <w:r w:rsidRPr="002E2488">
        <w:rPr>
          <w:color w:val="333333"/>
          <w:lang w:val="en-US"/>
        </w:rPr>
        <w:t xml:space="preserve"> Dr. Paul Demers of the Occupational Cancer Research Centre (OCRC) released a report highlighting occupational cancer and WSIB claims. The </w:t>
      </w:r>
      <w:hyperlink r:id="rId7" w:history="1">
        <w:r w:rsidRPr="002E2488">
          <w:rPr>
            <w:color w:val="000000" w:themeColor="text1"/>
            <w:lang w:val="en-US"/>
          </w:rPr>
          <w:t>report</w:t>
        </w:r>
      </w:hyperlink>
      <w:r w:rsidR="00F25946">
        <w:rPr>
          <w:rStyle w:val="FootnoteReference"/>
          <w:color w:val="000000" w:themeColor="text1"/>
          <w:lang w:val="en-US"/>
        </w:rPr>
        <w:footnoteReference w:id="26"/>
      </w:r>
      <w:r w:rsidRPr="002E2488">
        <w:rPr>
          <w:color w:val="333333"/>
          <w:lang w:val="en-US"/>
        </w:rPr>
        <w:t> reveals that a disproportionate number of workers are denied occupational cancer claims in Ontario compared to other European countries. As a result, workers and families in need of services and support are left without the benefits they deserve.</w:t>
      </w:r>
    </w:p>
    <w:p w14:paraId="371B5620" w14:textId="2298467F" w:rsidR="00F25946" w:rsidRPr="00F25946" w:rsidRDefault="00F25946" w:rsidP="004959BD">
      <w:pPr>
        <w:pStyle w:val="NormalWeb"/>
        <w:rPr>
          <w:b/>
          <w:bCs/>
          <w:color w:val="000000" w:themeColor="text1"/>
        </w:rPr>
      </w:pPr>
      <w:r>
        <w:rPr>
          <w:color w:val="333333"/>
          <w:lang w:val="en-US"/>
        </w:rPr>
        <w:t xml:space="preserve">Dr Demers shares in this blog from Cancer Care Ontario, </w:t>
      </w:r>
      <w:r w:rsidR="00172ADF" w:rsidRPr="00F25946">
        <w:rPr>
          <w:color w:val="333333"/>
          <w:lang w:val="en-US"/>
        </w:rPr>
        <w:t>“Many</w:t>
      </w:r>
      <w:r w:rsidRPr="00F25946">
        <w:rPr>
          <w:color w:val="333333"/>
        </w:rPr>
        <w:t xml:space="preserve"> people can’t personally control what they’re exposed to at work, or don't have the freedom to find a different job. They need support from employers and governments. We hope that the evidence we gather from research can inform regulations and policies that will ultimately make workplaces safer for everyone.”</w:t>
      </w:r>
      <w:r>
        <w:rPr>
          <w:rStyle w:val="FootnoteReference"/>
          <w:color w:val="333333"/>
        </w:rPr>
        <w:footnoteReference w:id="27"/>
      </w:r>
    </w:p>
    <w:p w14:paraId="38AB70D8" w14:textId="623C3BB1" w:rsidR="00F25946" w:rsidRPr="0083089D" w:rsidRDefault="00F25946" w:rsidP="0083089D">
      <w:pPr>
        <w:pStyle w:val="Heading1"/>
        <w:rPr>
          <w:rFonts w:ascii="Times New Roman" w:hAnsi="Times New Roman" w:cs="Times New Roman"/>
          <w:color w:val="1A1A1A"/>
          <w:sz w:val="24"/>
          <w:szCs w:val="24"/>
          <w:lang w:val="en-CA"/>
        </w:rPr>
      </w:pPr>
      <w:r w:rsidRPr="00F25946">
        <w:rPr>
          <w:rFonts w:ascii="Times New Roman" w:hAnsi="Times New Roman" w:cs="Times New Roman"/>
          <w:sz w:val="24"/>
          <w:szCs w:val="24"/>
        </w:rPr>
        <w:lastRenderedPageBreak/>
        <w:t xml:space="preserve">In </w:t>
      </w:r>
      <w:r>
        <w:rPr>
          <w:rFonts w:ascii="Times New Roman" w:hAnsi="Times New Roman" w:cs="Times New Roman"/>
          <w:sz w:val="24"/>
          <w:szCs w:val="24"/>
        </w:rPr>
        <w:t>the</w:t>
      </w:r>
      <w:r w:rsidRPr="00F25946">
        <w:rPr>
          <w:rFonts w:ascii="Times New Roman" w:hAnsi="Times New Roman" w:cs="Times New Roman"/>
          <w:sz w:val="24"/>
          <w:szCs w:val="24"/>
        </w:rPr>
        <w:t xml:space="preserve"> </w:t>
      </w:r>
      <w:r w:rsidRPr="00F25946">
        <w:rPr>
          <w:rFonts w:ascii="Times New Roman" w:hAnsi="Times New Roman" w:cs="Times New Roman"/>
          <w:color w:val="1A1A1A"/>
          <w:sz w:val="24"/>
          <w:szCs w:val="24"/>
        </w:rPr>
        <w:t xml:space="preserve">Occupational </w:t>
      </w:r>
      <w:r w:rsidR="002E2A53">
        <w:rPr>
          <w:rFonts w:ascii="Times New Roman" w:hAnsi="Times New Roman" w:cs="Times New Roman"/>
          <w:color w:val="1A1A1A"/>
          <w:sz w:val="24"/>
          <w:szCs w:val="24"/>
        </w:rPr>
        <w:t>D</w:t>
      </w:r>
      <w:r w:rsidRPr="00F25946">
        <w:rPr>
          <w:rFonts w:ascii="Times New Roman" w:hAnsi="Times New Roman" w:cs="Times New Roman"/>
          <w:color w:val="1A1A1A"/>
          <w:sz w:val="24"/>
          <w:szCs w:val="24"/>
        </w:rPr>
        <w:t xml:space="preserve">isease </w:t>
      </w:r>
      <w:r w:rsidR="002E2A53">
        <w:rPr>
          <w:rFonts w:ascii="Times New Roman" w:hAnsi="Times New Roman" w:cs="Times New Roman"/>
          <w:color w:val="1A1A1A"/>
          <w:sz w:val="24"/>
          <w:szCs w:val="24"/>
        </w:rPr>
        <w:t>L</w:t>
      </w:r>
      <w:r w:rsidRPr="00F25946">
        <w:rPr>
          <w:rFonts w:ascii="Times New Roman" w:hAnsi="Times New Roman" w:cs="Times New Roman"/>
          <w:color w:val="1A1A1A"/>
          <w:sz w:val="24"/>
          <w:szCs w:val="24"/>
        </w:rPr>
        <w:t xml:space="preserve">andscape </w:t>
      </w:r>
      <w:r w:rsidR="002E2A53">
        <w:rPr>
          <w:rFonts w:ascii="Times New Roman" w:hAnsi="Times New Roman" w:cs="Times New Roman"/>
          <w:color w:val="1A1A1A"/>
          <w:sz w:val="24"/>
          <w:szCs w:val="24"/>
        </w:rPr>
        <w:t>R</w:t>
      </w:r>
      <w:r w:rsidRPr="00F25946">
        <w:rPr>
          <w:rFonts w:ascii="Times New Roman" w:hAnsi="Times New Roman" w:cs="Times New Roman"/>
          <w:color w:val="1A1A1A"/>
          <w:sz w:val="24"/>
          <w:szCs w:val="24"/>
        </w:rPr>
        <w:t>eview</w:t>
      </w:r>
      <w:r>
        <w:rPr>
          <w:rFonts w:ascii="Times New Roman" w:hAnsi="Times New Roman" w:cs="Times New Roman"/>
          <w:color w:val="1A1A1A"/>
          <w:sz w:val="24"/>
          <w:szCs w:val="24"/>
        </w:rPr>
        <w:t xml:space="preserve">, Dr. Linn Holness </w:t>
      </w:r>
      <w:r w:rsidR="0083089D">
        <w:rPr>
          <w:rFonts w:ascii="Times New Roman" w:hAnsi="Times New Roman" w:cs="Times New Roman"/>
          <w:color w:val="1A1A1A"/>
          <w:sz w:val="24"/>
          <w:szCs w:val="24"/>
        </w:rPr>
        <w:t>concludes her report with the following points.</w:t>
      </w:r>
      <w:r w:rsidR="0083089D">
        <w:rPr>
          <w:rStyle w:val="FootnoteReference"/>
          <w:rFonts w:ascii="Times New Roman" w:hAnsi="Times New Roman" w:cs="Times New Roman"/>
          <w:color w:val="1A1A1A"/>
          <w:sz w:val="24"/>
          <w:szCs w:val="24"/>
        </w:rPr>
        <w:footnoteReference w:id="28"/>
      </w:r>
    </w:p>
    <w:p w14:paraId="39CECBAA" w14:textId="77777777" w:rsidR="00F25946" w:rsidRPr="00F25946" w:rsidRDefault="00F25946" w:rsidP="00F25946">
      <w:pPr>
        <w:numPr>
          <w:ilvl w:val="0"/>
          <w:numId w:val="14"/>
        </w:numPr>
        <w:spacing w:before="100" w:beforeAutospacing="1" w:after="100" w:afterAutospacing="1"/>
        <w:rPr>
          <w:color w:val="1A1A1A"/>
          <w:sz w:val="24"/>
          <w:szCs w:val="24"/>
          <w:lang w:val="en-CA"/>
        </w:rPr>
      </w:pPr>
      <w:r w:rsidRPr="00F25946">
        <w:rPr>
          <w:color w:val="1A1A1A"/>
          <w:sz w:val="24"/>
          <w:szCs w:val="24"/>
          <w:lang w:val="en-CA"/>
        </w:rPr>
        <w:t>The crucial link between exposures at work and symptoms of disease is often missed by employers, healthcare providers and workers themselves. This matters to prevention efforts and accurate diagnosis and health management. </w:t>
      </w:r>
    </w:p>
    <w:p w14:paraId="4D6804BC" w14:textId="77777777" w:rsidR="00F25946" w:rsidRDefault="00F25946" w:rsidP="00F25946">
      <w:pPr>
        <w:numPr>
          <w:ilvl w:val="0"/>
          <w:numId w:val="14"/>
        </w:numPr>
        <w:spacing w:before="100" w:beforeAutospacing="1" w:after="100" w:afterAutospacing="1"/>
        <w:rPr>
          <w:color w:val="1A1A1A"/>
          <w:sz w:val="24"/>
          <w:szCs w:val="24"/>
          <w:lang w:val="en-CA"/>
        </w:rPr>
      </w:pPr>
      <w:r w:rsidRPr="00F25946">
        <w:rPr>
          <w:color w:val="1A1A1A"/>
          <w:sz w:val="24"/>
          <w:szCs w:val="24"/>
          <w:lang w:val="en-CA"/>
        </w:rPr>
        <w:t>The Ontario health and safety system and the healthcare system are not well connected. Workers must navigate between the work and healthcare landscapes on their own. Yet work can impact health, and health can impact work. Understanding this dynamic and intervening early is crucial at both the individual and system levels.</w:t>
      </w:r>
    </w:p>
    <w:p w14:paraId="142CC432" w14:textId="40C8BDE0" w:rsidR="0083089D" w:rsidRDefault="0083089D" w:rsidP="0083089D">
      <w:pPr>
        <w:spacing w:before="100" w:beforeAutospacing="1" w:after="100" w:afterAutospacing="1"/>
        <w:rPr>
          <w:b/>
          <w:bCs/>
          <w:color w:val="1A1A1A"/>
          <w:sz w:val="24"/>
          <w:szCs w:val="24"/>
          <w:lang w:val="en-CA"/>
        </w:rPr>
      </w:pPr>
      <w:r w:rsidRPr="0083089D">
        <w:rPr>
          <w:b/>
          <w:bCs/>
          <w:color w:val="000000" w:themeColor="text1"/>
          <w:sz w:val="24"/>
          <w:szCs w:val="24"/>
        </w:rPr>
        <w:t>Recommendation #</w:t>
      </w:r>
      <w:r w:rsidR="00D468AC">
        <w:rPr>
          <w:b/>
          <w:bCs/>
          <w:color w:val="000000" w:themeColor="text1"/>
          <w:sz w:val="24"/>
          <w:szCs w:val="24"/>
        </w:rPr>
        <w:t>6</w:t>
      </w:r>
      <w:r w:rsidR="008B6E6B" w:rsidRPr="0083089D">
        <w:rPr>
          <w:b/>
          <w:bCs/>
          <w:color w:val="000000" w:themeColor="text1"/>
          <w:sz w:val="24"/>
          <w:szCs w:val="24"/>
        </w:rPr>
        <w:t xml:space="preserve"> It</w:t>
      </w:r>
      <w:r w:rsidRPr="0083089D">
        <w:rPr>
          <w:b/>
          <w:bCs/>
          <w:color w:val="1A1A1A"/>
          <w:sz w:val="24"/>
          <w:szCs w:val="24"/>
          <w:lang w:val="en-CA"/>
        </w:rPr>
        <w:t xml:space="preserve"> is critical that workers compensation address th</w:t>
      </w:r>
      <w:r w:rsidR="00CE3CD9">
        <w:rPr>
          <w:b/>
          <w:bCs/>
          <w:color w:val="1A1A1A"/>
          <w:sz w:val="24"/>
          <w:szCs w:val="24"/>
          <w:lang w:val="en-CA"/>
        </w:rPr>
        <w:t>e</w:t>
      </w:r>
      <w:r w:rsidRPr="0083089D">
        <w:rPr>
          <w:b/>
          <w:bCs/>
          <w:color w:val="1A1A1A"/>
          <w:sz w:val="24"/>
          <w:szCs w:val="24"/>
          <w:lang w:val="en-CA"/>
        </w:rPr>
        <w:t xml:space="preserve"> issue</w:t>
      </w:r>
      <w:r w:rsidR="00CE3CD9">
        <w:rPr>
          <w:b/>
          <w:bCs/>
          <w:color w:val="1A1A1A"/>
          <w:sz w:val="24"/>
          <w:szCs w:val="24"/>
          <w:lang w:val="en-CA"/>
        </w:rPr>
        <w:t xml:space="preserve"> entitlement to and prevention of Occupational Disease</w:t>
      </w:r>
      <w:r w:rsidRPr="0083089D">
        <w:rPr>
          <w:b/>
          <w:bCs/>
          <w:color w:val="1A1A1A"/>
          <w:sz w:val="24"/>
          <w:szCs w:val="24"/>
          <w:lang w:val="en-CA"/>
        </w:rPr>
        <w:t xml:space="preserve"> to prevent further suffering of workers and their families due to the increasing exposure to toxins in the workplace.</w:t>
      </w:r>
    </w:p>
    <w:p w14:paraId="7FA85EEF" w14:textId="6EBDF5A4" w:rsidR="00AE76ED" w:rsidRPr="00AE76ED" w:rsidRDefault="00AE76ED" w:rsidP="00AE76ED">
      <w:pPr>
        <w:rPr>
          <w:b/>
          <w:bCs/>
          <w:sz w:val="24"/>
          <w:szCs w:val="24"/>
        </w:rPr>
      </w:pPr>
      <w:r w:rsidRPr="00AE76ED">
        <w:rPr>
          <w:b/>
          <w:bCs/>
          <w:sz w:val="24"/>
          <w:szCs w:val="24"/>
        </w:rPr>
        <w:t>Critical Concerns</w:t>
      </w:r>
      <w:r>
        <w:rPr>
          <w:b/>
          <w:bCs/>
          <w:sz w:val="24"/>
          <w:szCs w:val="24"/>
        </w:rPr>
        <w:t xml:space="preserve"> with Bill 105</w:t>
      </w:r>
    </w:p>
    <w:p w14:paraId="03804DCA" w14:textId="77777777" w:rsidR="00AE76ED" w:rsidRPr="00AE76ED" w:rsidRDefault="00AE76ED" w:rsidP="00AE76ED">
      <w:pPr>
        <w:rPr>
          <w:b/>
          <w:bCs/>
          <w:sz w:val="24"/>
          <w:szCs w:val="24"/>
        </w:rPr>
      </w:pPr>
    </w:p>
    <w:p w14:paraId="794EE4D1" w14:textId="77777777" w:rsidR="00AE76ED" w:rsidRPr="00AE76ED" w:rsidRDefault="00AE76ED" w:rsidP="00AE76ED">
      <w:pPr>
        <w:rPr>
          <w:b/>
          <w:bCs/>
          <w:sz w:val="24"/>
          <w:szCs w:val="24"/>
        </w:rPr>
      </w:pPr>
      <w:r w:rsidRPr="00AE76ED">
        <w:rPr>
          <w:b/>
          <w:bCs/>
          <w:sz w:val="24"/>
          <w:szCs w:val="24"/>
        </w:rPr>
        <w:t>Removal of the 72-Month Lock-In</w:t>
      </w:r>
    </w:p>
    <w:p w14:paraId="43CDF203" w14:textId="77777777" w:rsidR="00AE76ED" w:rsidRPr="00AE76ED" w:rsidRDefault="00AE76ED" w:rsidP="00AE76ED">
      <w:pPr>
        <w:rPr>
          <w:b/>
          <w:bCs/>
          <w:sz w:val="24"/>
          <w:szCs w:val="24"/>
        </w:rPr>
      </w:pPr>
    </w:p>
    <w:p w14:paraId="25972904" w14:textId="0608C116" w:rsidR="00AE76ED" w:rsidRPr="00AE76ED" w:rsidRDefault="00AE76ED" w:rsidP="00AE76ED">
      <w:pPr>
        <w:rPr>
          <w:sz w:val="24"/>
          <w:szCs w:val="24"/>
        </w:rPr>
      </w:pPr>
      <w:r w:rsidRPr="00AE76ED">
        <w:rPr>
          <w:sz w:val="24"/>
          <w:szCs w:val="24"/>
        </w:rPr>
        <w:t>The removal of the 72-month lock-in provision allows the WSIB to reassess a worker’s earnings at any time for the remainder of their life.</w:t>
      </w:r>
      <w:r>
        <w:rPr>
          <w:sz w:val="24"/>
          <w:szCs w:val="24"/>
        </w:rPr>
        <w:t xml:space="preserve"> </w:t>
      </w:r>
      <w:r w:rsidRPr="00AE76ED">
        <w:rPr>
          <w:sz w:val="24"/>
          <w:szCs w:val="24"/>
        </w:rPr>
        <w:t>For workers with chronic and progressive diseases this legislation :</w:t>
      </w:r>
    </w:p>
    <w:p w14:paraId="330D4556" w14:textId="77777777" w:rsidR="00AE76ED" w:rsidRPr="00AE76ED" w:rsidRDefault="00AE76ED" w:rsidP="00AE76ED">
      <w:pPr>
        <w:numPr>
          <w:ilvl w:val="0"/>
          <w:numId w:val="16"/>
        </w:numPr>
        <w:spacing w:after="160" w:line="278" w:lineRule="auto"/>
        <w:rPr>
          <w:sz w:val="24"/>
          <w:szCs w:val="24"/>
        </w:rPr>
      </w:pPr>
      <w:r w:rsidRPr="00AE76ED">
        <w:rPr>
          <w:sz w:val="24"/>
          <w:szCs w:val="24"/>
        </w:rPr>
        <w:t>Introduces permanent financial insecurity</w:t>
      </w:r>
    </w:p>
    <w:p w14:paraId="1F29C7A4" w14:textId="77777777" w:rsidR="00AE76ED" w:rsidRPr="00AE76ED" w:rsidRDefault="00AE76ED" w:rsidP="00AE76ED">
      <w:pPr>
        <w:numPr>
          <w:ilvl w:val="0"/>
          <w:numId w:val="16"/>
        </w:numPr>
        <w:spacing w:after="160" w:line="278" w:lineRule="auto"/>
        <w:rPr>
          <w:sz w:val="24"/>
          <w:szCs w:val="24"/>
        </w:rPr>
      </w:pPr>
      <w:r w:rsidRPr="00AE76ED">
        <w:rPr>
          <w:sz w:val="24"/>
          <w:szCs w:val="24"/>
        </w:rPr>
        <w:t>Creates ongoing psychological stress</w:t>
      </w:r>
    </w:p>
    <w:p w14:paraId="20DC986D" w14:textId="77777777" w:rsidR="00AE76ED" w:rsidRPr="00AE76ED" w:rsidRDefault="00AE76ED" w:rsidP="00AE76ED">
      <w:pPr>
        <w:numPr>
          <w:ilvl w:val="0"/>
          <w:numId w:val="16"/>
        </w:numPr>
        <w:spacing w:after="160" w:line="278" w:lineRule="auto"/>
        <w:rPr>
          <w:sz w:val="24"/>
          <w:szCs w:val="24"/>
        </w:rPr>
      </w:pPr>
      <w:r w:rsidRPr="00AE76ED">
        <w:rPr>
          <w:sz w:val="24"/>
          <w:szCs w:val="24"/>
        </w:rPr>
        <w:t>Undermines the purpose of compensation as a stable income replacement system</w:t>
      </w:r>
    </w:p>
    <w:p w14:paraId="56AAB892" w14:textId="7FA3F61A" w:rsidR="00AE76ED" w:rsidRDefault="00AE76ED" w:rsidP="00AE76ED">
      <w:pPr>
        <w:rPr>
          <w:sz w:val="24"/>
          <w:szCs w:val="24"/>
        </w:rPr>
      </w:pPr>
      <w:r w:rsidRPr="00AE76ED">
        <w:rPr>
          <w:sz w:val="24"/>
          <w:szCs w:val="24"/>
        </w:rPr>
        <w:t>Rather than strengthening worker protections, this change creates a system of indefinite reassessment and uncertainty.</w:t>
      </w:r>
      <w:r>
        <w:rPr>
          <w:sz w:val="24"/>
          <w:szCs w:val="24"/>
        </w:rPr>
        <w:t xml:space="preserve"> </w:t>
      </w:r>
      <w:r w:rsidRPr="00AE76ED">
        <w:rPr>
          <w:sz w:val="24"/>
          <w:szCs w:val="24"/>
        </w:rPr>
        <w:t xml:space="preserve">In our experience, the WSIB has all the necessary tools and legislation required to address changes in a worker’s earnings, during and after the 72-month lock in.   </w:t>
      </w:r>
    </w:p>
    <w:p w14:paraId="404DACBA" w14:textId="77777777" w:rsidR="00AE76ED" w:rsidRPr="00AE76ED" w:rsidRDefault="00AE76ED" w:rsidP="00AE76ED">
      <w:pPr>
        <w:rPr>
          <w:sz w:val="24"/>
          <w:szCs w:val="24"/>
        </w:rPr>
      </w:pPr>
    </w:p>
    <w:p w14:paraId="01301694" w14:textId="77777777" w:rsidR="00F809AA" w:rsidRDefault="00AE76ED" w:rsidP="00AE76ED">
      <w:pPr>
        <w:rPr>
          <w:sz w:val="24"/>
          <w:szCs w:val="24"/>
        </w:rPr>
      </w:pPr>
      <w:r w:rsidRPr="00AE76ED">
        <w:rPr>
          <w:sz w:val="24"/>
          <w:szCs w:val="24"/>
        </w:rPr>
        <w:t>In addition, we would recommend that any review of loss of earnings, should consider that a worker's “pre-injury earnings” does not reflect the true financial loss a worker incurs over time.</w:t>
      </w:r>
    </w:p>
    <w:p w14:paraId="6E77A71B" w14:textId="25171291" w:rsidR="00AE76ED" w:rsidRPr="00AE76ED" w:rsidRDefault="00AE76ED" w:rsidP="00AE76ED">
      <w:pPr>
        <w:rPr>
          <w:sz w:val="24"/>
          <w:szCs w:val="24"/>
        </w:rPr>
      </w:pPr>
      <w:r w:rsidRPr="00AE76ED">
        <w:rPr>
          <w:sz w:val="24"/>
          <w:szCs w:val="24"/>
        </w:rPr>
        <w:t xml:space="preserve"> </w:t>
      </w:r>
    </w:p>
    <w:p w14:paraId="7C38F11C" w14:textId="77777777" w:rsidR="00F809AA" w:rsidRDefault="00F809AA" w:rsidP="00F809AA">
      <w:pPr>
        <w:jc w:val="both"/>
        <w:rPr>
          <w:b/>
          <w:bCs/>
          <w:sz w:val="24"/>
          <w:szCs w:val="24"/>
        </w:rPr>
      </w:pPr>
      <w:r w:rsidRPr="00F809AA">
        <w:rPr>
          <w:b/>
          <w:bCs/>
          <w:sz w:val="24"/>
          <w:szCs w:val="24"/>
        </w:rPr>
        <w:t>Targeting workers with permanent impairments and longstanding LOE entitlement</w:t>
      </w:r>
    </w:p>
    <w:p w14:paraId="44D40A88" w14:textId="77777777" w:rsidR="00F809AA" w:rsidRPr="00F809AA" w:rsidRDefault="00F809AA" w:rsidP="00F809AA">
      <w:pPr>
        <w:jc w:val="both"/>
        <w:rPr>
          <w:b/>
          <w:bCs/>
          <w:sz w:val="24"/>
          <w:szCs w:val="24"/>
        </w:rPr>
      </w:pPr>
    </w:p>
    <w:p w14:paraId="2F86B928" w14:textId="77777777" w:rsidR="00F809AA" w:rsidRPr="00F809AA" w:rsidRDefault="00F809AA" w:rsidP="00F809AA">
      <w:pPr>
        <w:jc w:val="both"/>
        <w:rPr>
          <w:sz w:val="24"/>
          <w:szCs w:val="24"/>
        </w:rPr>
      </w:pPr>
      <w:r w:rsidRPr="00F809AA">
        <w:rPr>
          <w:sz w:val="24"/>
          <w:szCs w:val="24"/>
        </w:rPr>
        <w:t>Importantly, the small percentage of injured workers who ultimately receive the lock-in are among the most seriously impaired workers in the compensation system. According to WSIB’s 2024 Annual Report, only 2.4% of injured workers remain on LOE benefits at the 72-month mark.</w:t>
      </w:r>
      <w:r w:rsidRPr="00F809AA">
        <w:rPr>
          <w:rStyle w:val="FootnoteReference"/>
          <w:sz w:val="24"/>
          <w:szCs w:val="24"/>
        </w:rPr>
        <w:footnoteReference w:id="29"/>
      </w:r>
      <w:r w:rsidRPr="00F809AA">
        <w:rPr>
          <w:sz w:val="24"/>
          <w:szCs w:val="24"/>
        </w:rPr>
        <w:t xml:space="preserve"> In CUPE’s experience, these workers frequently suffer from a combination of physical and psychological impairments and often face profound barriers to sustained labour market reintegration.  </w:t>
      </w:r>
    </w:p>
    <w:p w14:paraId="5E7A0248" w14:textId="5E268F98" w:rsidR="00F809AA" w:rsidRDefault="00F809AA" w:rsidP="00F809AA">
      <w:pPr>
        <w:jc w:val="both"/>
        <w:rPr>
          <w:sz w:val="24"/>
          <w:szCs w:val="24"/>
        </w:rPr>
      </w:pPr>
      <w:r>
        <w:rPr>
          <w:sz w:val="24"/>
          <w:szCs w:val="24"/>
        </w:rPr>
        <w:lastRenderedPageBreak/>
        <w:t>I</w:t>
      </w:r>
      <w:r w:rsidRPr="00F809AA">
        <w:rPr>
          <w:sz w:val="24"/>
          <w:szCs w:val="24"/>
        </w:rPr>
        <w:t xml:space="preserve">ncreased monitoring and surveillance, and perpetual financial uncertainty are likely to have significant psychological consequences on workers suffering from chronic pain conditions, traumatic psychological injuries, and permanent disabilities. Injured workers may find themselves living in constant fear that a phone call, letter, or reassessment could trigger a reduction or termination of their benefits. </w:t>
      </w:r>
    </w:p>
    <w:p w14:paraId="594C2C41" w14:textId="77777777" w:rsidR="00F809AA" w:rsidRPr="00F809AA" w:rsidRDefault="00F809AA" w:rsidP="00F809AA">
      <w:pPr>
        <w:jc w:val="both"/>
        <w:rPr>
          <w:sz w:val="24"/>
          <w:szCs w:val="24"/>
        </w:rPr>
      </w:pPr>
    </w:p>
    <w:p w14:paraId="09B65A54" w14:textId="77777777" w:rsidR="00F809AA" w:rsidRDefault="00F809AA" w:rsidP="00F809AA">
      <w:pPr>
        <w:jc w:val="both"/>
        <w:rPr>
          <w:sz w:val="24"/>
          <w:szCs w:val="24"/>
        </w:rPr>
      </w:pPr>
      <w:r w:rsidRPr="00F809AA">
        <w:rPr>
          <w:sz w:val="24"/>
          <w:szCs w:val="24"/>
        </w:rPr>
        <w:t xml:space="preserve">Repeated adversarial reassessment has the potential to aggravate compensable medical conditions, undermine recovery, and further shift the economic consequences of workplace injury on to publicly funded social assistance programs (i.e. Ontario Works and the Ontario Disability Support Program) and support systems. </w:t>
      </w:r>
    </w:p>
    <w:p w14:paraId="7A46D7F7" w14:textId="77777777" w:rsidR="00F809AA" w:rsidRPr="00F809AA" w:rsidRDefault="00F809AA" w:rsidP="00F809AA">
      <w:pPr>
        <w:jc w:val="both"/>
        <w:rPr>
          <w:sz w:val="24"/>
          <w:szCs w:val="24"/>
        </w:rPr>
      </w:pPr>
    </w:p>
    <w:p w14:paraId="33B3F7A6" w14:textId="77777777" w:rsidR="00F809AA" w:rsidRPr="00F809AA" w:rsidRDefault="00F809AA" w:rsidP="00F809AA">
      <w:pPr>
        <w:jc w:val="both"/>
        <w:rPr>
          <w:b/>
          <w:bCs/>
          <w:sz w:val="24"/>
          <w:szCs w:val="24"/>
        </w:rPr>
      </w:pPr>
      <w:r w:rsidRPr="00F809AA">
        <w:rPr>
          <w:b/>
          <w:bCs/>
          <w:sz w:val="24"/>
          <w:szCs w:val="24"/>
        </w:rPr>
        <w:t>Increasing litigation and systemic backlog throughout the compensation system</w:t>
      </w:r>
    </w:p>
    <w:p w14:paraId="36522A1F" w14:textId="15A4DEE6" w:rsidR="00AE76ED" w:rsidRPr="00F809AA" w:rsidRDefault="00F809AA" w:rsidP="00F809AA">
      <w:pPr>
        <w:jc w:val="both"/>
        <w:rPr>
          <w:sz w:val="24"/>
          <w:szCs w:val="24"/>
        </w:rPr>
      </w:pPr>
      <w:r w:rsidRPr="00F809AA">
        <w:rPr>
          <w:sz w:val="24"/>
          <w:szCs w:val="24"/>
        </w:rPr>
        <w:t xml:space="preserve">The elimination of the lock-in will also likely place additional strain on both the WSIB and Ontario’s already backlogged workers’ compensation appeals system. WSIB Case Managers may be required to conduct ongoing reviews for thousands of additional workers. Those reviews will inevitably generate additional adverse decisions, objections, and appeals, further increasing pressure on both the WSIB’s Appeal Services Division, and the Workplace Safety and Insurance Appeals Tribunal. </w:t>
      </w:r>
    </w:p>
    <w:p w14:paraId="4E946DBA" w14:textId="35157364" w:rsidR="00F25946" w:rsidRPr="00F25946" w:rsidRDefault="00CE3CD9" w:rsidP="004959BD">
      <w:pPr>
        <w:pStyle w:val="NormalWeb"/>
      </w:pPr>
      <w:r>
        <w:t>We would be pleased to discuss or expand on any aspects of our submission if you would like.</w:t>
      </w:r>
    </w:p>
    <w:sectPr w:rsidR="00F25946" w:rsidRPr="00F25946">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BAA6" w14:textId="77777777" w:rsidR="00AE3B13" w:rsidRDefault="00AE3B13" w:rsidP="005814EE">
      <w:r>
        <w:separator/>
      </w:r>
    </w:p>
  </w:endnote>
  <w:endnote w:type="continuationSeparator" w:id="0">
    <w:p w14:paraId="4C811B33" w14:textId="77777777" w:rsidR="00AE3B13" w:rsidRDefault="00AE3B13" w:rsidP="0058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5483821"/>
      <w:docPartObj>
        <w:docPartGallery w:val="Page Numbers (Bottom of Page)"/>
        <w:docPartUnique/>
      </w:docPartObj>
    </w:sdtPr>
    <w:sdtContent>
      <w:p w14:paraId="2CB63EC6" w14:textId="2FB37335" w:rsidR="00990C55" w:rsidRDefault="00990C55" w:rsidP="00C43F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77B061" w14:textId="77777777" w:rsidR="00990C55" w:rsidRDefault="00990C55" w:rsidP="00990C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7585301"/>
      <w:docPartObj>
        <w:docPartGallery w:val="Page Numbers (Bottom of Page)"/>
        <w:docPartUnique/>
      </w:docPartObj>
    </w:sdtPr>
    <w:sdtContent>
      <w:p w14:paraId="10F01BE3" w14:textId="2C184BBF" w:rsidR="00990C55" w:rsidRDefault="00990C55" w:rsidP="00C43F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8DFB56" w14:textId="77777777" w:rsidR="00990C55" w:rsidRDefault="00990C55" w:rsidP="00990C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C177" w14:textId="77777777" w:rsidR="00AE3B13" w:rsidRDefault="00AE3B13" w:rsidP="005814EE">
      <w:r>
        <w:separator/>
      </w:r>
    </w:p>
  </w:footnote>
  <w:footnote w:type="continuationSeparator" w:id="0">
    <w:p w14:paraId="71DC813A" w14:textId="77777777" w:rsidR="00AE3B13" w:rsidRDefault="00AE3B13" w:rsidP="005814EE">
      <w:r>
        <w:continuationSeparator/>
      </w:r>
    </w:p>
  </w:footnote>
  <w:footnote w:id="1">
    <w:p w14:paraId="46CD162E" w14:textId="02018A3F" w:rsidR="000E068F" w:rsidRPr="000E068F" w:rsidRDefault="000E068F">
      <w:pPr>
        <w:pStyle w:val="FootnoteText"/>
        <w:rPr>
          <w:lang w:val="en-CA"/>
        </w:rPr>
      </w:pPr>
      <w:r>
        <w:rPr>
          <w:rStyle w:val="FootnoteReference"/>
        </w:rPr>
        <w:footnoteRef/>
      </w:r>
      <w:r>
        <w:t xml:space="preserve"> </w:t>
      </w:r>
      <w:r w:rsidRPr="000E068F">
        <w:t>https://raacwi.iwh.on.ca/index.htm</w:t>
      </w:r>
    </w:p>
  </w:footnote>
  <w:footnote w:id="2">
    <w:p w14:paraId="0EF7823E" w14:textId="77777777" w:rsidR="00305395" w:rsidRPr="00736416" w:rsidRDefault="00305395" w:rsidP="00305395">
      <w:pPr>
        <w:pStyle w:val="FootnoteText"/>
        <w:rPr>
          <w:lang w:val="en-CA"/>
        </w:rPr>
      </w:pPr>
      <w:r>
        <w:rPr>
          <w:rStyle w:val="FootnoteReference"/>
        </w:rPr>
        <w:footnoteRef/>
      </w:r>
      <w:r>
        <w:t xml:space="preserve"> </w:t>
      </w:r>
      <w:r w:rsidRPr="00736416">
        <w:t>https://awcbc.org/files/about-awcbc/meredith_report.pdf</w:t>
      </w:r>
    </w:p>
  </w:footnote>
  <w:footnote w:id="3">
    <w:p w14:paraId="7A267584" w14:textId="7BF35022" w:rsidR="000E068F" w:rsidRPr="000E068F" w:rsidRDefault="000E068F">
      <w:pPr>
        <w:pStyle w:val="FootnoteText"/>
        <w:rPr>
          <w:lang w:val="en-CA"/>
        </w:rPr>
      </w:pPr>
      <w:r>
        <w:rPr>
          <w:rStyle w:val="FootnoteReference"/>
        </w:rPr>
        <w:footnoteRef/>
      </w:r>
      <w:r>
        <w:t xml:space="preserve"> </w:t>
      </w:r>
      <w:r w:rsidR="00593B66" w:rsidRPr="00593B66">
        <w:t>https://injuredworkersonline.org/wp-content/uploads/2021/03/ETompa_Disability-Trajectories_2017Nov24.pdf</w:t>
      </w:r>
    </w:p>
  </w:footnote>
  <w:footnote w:id="4">
    <w:p w14:paraId="71B9D154" w14:textId="029D9A87" w:rsidR="00736416" w:rsidRPr="00736416" w:rsidRDefault="00736416">
      <w:pPr>
        <w:pStyle w:val="FootnoteText"/>
        <w:rPr>
          <w:lang w:val="en-CA"/>
        </w:rPr>
      </w:pPr>
      <w:r>
        <w:rPr>
          <w:rStyle w:val="FootnoteReference"/>
        </w:rPr>
        <w:footnoteRef/>
      </w:r>
      <w:r>
        <w:t xml:space="preserve"> </w:t>
      </w:r>
      <w:r w:rsidRPr="00736416">
        <w:t>https://injuredworkersonline.org/wp-content/uploads/2025/11/Rights-Dont-Retire-Report.pdf</w:t>
      </w:r>
    </w:p>
  </w:footnote>
  <w:footnote w:id="5">
    <w:p w14:paraId="37BB91E0" w14:textId="2F1D358B" w:rsidR="008A44CF" w:rsidRPr="006300F2" w:rsidRDefault="008A44CF">
      <w:pPr>
        <w:pStyle w:val="FootnoteText"/>
        <w:rPr>
          <w:sz w:val="18"/>
          <w:szCs w:val="18"/>
          <w:lang w:val="en-CA"/>
        </w:rPr>
      </w:pPr>
      <w:r>
        <w:rPr>
          <w:rStyle w:val="FootnoteReference"/>
        </w:rPr>
        <w:footnoteRef/>
      </w:r>
      <w:r>
        <w:t xml:space="preserve"> </w:t>
      </w:r>
      <w:r w:rsidRPr="006300F2">
        <w:rPr>
          <w:sz w:val="18"/>
          <w:szCs w:val="18"/>
        </w:rPr>
        <w:t>https://www.cambridge.org/core/journals/the-economic-and-labour-relations-review/article/retirement-pension-poverty-among-injured-workers-with-longterm-workers-compensation-claims/2EF00B2F686147ACE75BB22A7A8C710B</w:t>
      </w:r>
    </w:p>
  </w:footnote>
  <w:footnote w:id="6">
    <w:p w14:paraId="70DD5305" w14:textId="12EA76AF" w:rsidR="005979E6" w:rsidRDefault="005979E6">
      <w:pPr>
        <w:pStyle w:val="FootnoteText"/>
      </w:pPr>
      <w:r>
        <w:rPr>
          <w:rStyle w:val="FootnoteReference"/>
        </w:rPr>
        <w:footnoteRef/>
      </w:r>
      <w:r>
        <w:t xml:space="preserve"> </w:t>
      </w:r>
      <w:hyperlink r:id="rId1" w:history="1">
        <w:r w:rsidRPr="00904185">
          <w:rPr>
            <w:rStyle w:val="Hyperlink"/>
          </w:rPr>
          <w:t>https://journals.sagepub.com/doi/10.1177/10482911251314183</w:t>
        </w:r>
      </w:hyperlink>
    </w:p>
    <w:p w14:paraId="32658301" w14:textId="0FDBCC06" w:rsidR="005979E6" w:rsidRPr="005979E6" w:rsidRDefault="005979E6">
      <w:pPr>
        <w:pStyle w:val="FootnoteText"/>
        <w:rPr>
          <w:lang w:val="en-CA"/>
        </w:rPr>
      </w:pPr>
      <w:r w:rsidRPr="005979E6">
        <w:rPr>
          <w:lang w:val="en-CA"/>
        </w:rPr>
        <w:t>https://injuredworkersonline.org/issue/experience-rating/</w:t>
      </w:r>
    </w:p>
  </w:footnote>
  <w:footnote w:id="7">
    <w:p w14:paraId="5F65074B" w14:textId="087163BD" w:rsidR="00593B66" w:rsidRPr="00593B66" w:rsidRDefault="00593B66">
      <w:pPr>
        <w:pStyle w:val="FootnoteText"/>
        <w:rPr>
          <w:lang w:val="en-CA"/>
        </w:rPr>
      </w:pPr>
      <w:r>
        <w:rPr>
          <w:rStyle w:val="FootnoteReference"/>
        </w:rPr>
        <w:footnoteRef/>
      </w:r>
      <w:r>
        <w:t xml:space="preserve"> </w:t>
      </w:r>
      <w:r w:rsidRPr="00593B66">
        <w:t>https://journals.sagepub.com/doi/10.1177/10482911251314183</w:t>
      </w:r>
    </w:p>
  </w:footnote>
  <w:footnote w:id="8">
    <w:p w14:paraId="55F861CB" w14:textId="56660903" w:rsidR="00164A75" w:rsidRPr="00164A75" w:rsidRDefault="00164A75">
      <w:pPr>
        <w:pStyle w:val="FootnoteText"/>
        <w:rPr>
          <w:lang w:val="en-CA"/>
        </w:rPr>
      </w:pPr>
      <w:r>
        <w:rPr>
          <w:rStyle w:val="FootnoteReference"/>
        </w:rPr>
        <w:footnoteRef/>
      </w:r>
      <w:r>
        <w:t xml:space="preserve"> </w:t>
      </w:r>
      <w:r w:rsidR="00B23FDA" w:rsidRPr="00B23FDA">
        <w:t>https://injuredworkersonline.org/issue/workers-benefits/pre-existing-conditions/</w:t>
      </w:r>
    </w:p>
  </w:footnote>
  <w:footnote w:id="9">
    <w:p w14:paraId="12CDE077" w14:textId="745F7455" w:rsidR="00DA66EF" w:rsidRPr="00DA66EF" w:rsidRDefault="00DA66EF">
      <w:pPr>
        <w:pStyle w:val="FootnoteText"/>
        <w:rPr>
          <w:lang w:val="en-CA"/>
        </w:rPr>
      </w:pPr>
      <w:r>
        <w:rPr>
          <w:rStyle w:val="FootnoteReference"/>
        </w:rPr>
        <w:footnoteRef/>
      </w:r>
      <w:r>
        <w:t xml:space="preserve"> </w:t>
      </w:r>
      <w:r w:rsidRPr="00DA66EF">
        <w:t>https://ofl.ca/wp-content/uploads/2015.11.05-Report-WSIB.pdf</w:t>
      </w:r>
    </w:p>
  </w:footnote>
  <w:footnote w:id="10">
    <w:p w14:paraId="66190F48" w14:textId="609BE2D2" w:rsidR="00242D4D" w:rsidRPr="00242D4D" w:rsidRDefault="00242D4D" w:rsidP="00242D4D">
      <w:pPr>
        <w:pStyle w:val="FootnoteText"/>
      </w:pPr>
      <w:r>
        <w:rPr>
          <w:rStyle w:val="FootnoteReference"/>
        </w:rPr>
        <w:footnoteRef/>
      </w:r>
      <w:r>
        <w:t xml:space="preserve"> </w:t>
      </w:r>
      <w:r w:rsidRPr="00242D4D">
        <w:t xml:space="preserve"> </w:t>
      </w:r>
      <w:hyperlink r:id="rId2" w:history="1">
        <w:r w:rsidRPr="00242D4D">
          <w:rPr>
            <w:rStyle w:val="Hyperlink"/>
          </w:rPr>
          <w:t>https://injuredworkersonline.org/issue/surveillance-and-stigma/</w:t>
        </w:r>
      </w:hyperlink>
    </w:p>
    <w:p w14:paraId="5AE8F208" w14:textId="6A6C2B86" w:rsidR="00242D4D" w:rsidRPr="00242D4D" w:rsidRDefault="00242D4D">
      <w:pPr>
        <w:pStyle w:val="FootnoteText"/>
        <w:rPr>
          <w:lang w:val="en-CA"/>
        </w:rPr>
      </w:pPr>
    </w:p>
  </w:footnote>
  <w:footnote w:id="11">
    <w:p w14:paraId="1F352329" w14:textId="77777777" w:rsidR="00305395" w:rsidRPr="00B10772" w:rsidRDefault="00305395" w:rsidP="00305395">
      <w:pPr>
        <w:pStyle w:val="FootnoteText"/>
        <w:rPr>
          <w:lang w:val="en-CA"/>
        </w:rPr>
      </w:pPr>
      <w:r>
        <w:rPr>
          <w:rStyle w:val="FootnoteReference"/>
        </w:rPr>
        <w:footnoteRef/>
      </w:r>
      <w:r>
        <w:t xml:space="preserve"> </w:t>
      </w:r>
      <w:r w:rsidRPr="00B10772">
        <w:t>https://www.iwh.on.ca/journal-articles/association-between-case-manager-interactions-and-serious-mental-illness-following-physical-workplace-injury-or-illness-cross-sectional-analysis-of-workers-compensation-claimants</w:t>
      </w:r>
    </w:p>
  </w:footnote>
  <w:footnote w:id="12">
    <w:p w14:paraId="00478AF1" w14:textId="57A1D246" w:rsidR="001D3C73" w:rsidRPr="001D3C73" w:rsidRDefault="001D3C73">
      <w:pPr>
        <w:pStyle w:val="FootnoteText"/>
        <w:rPr>
          <w:lang w:val="en-CA"/>
        </w:rPr>
      </w:pPr>
      <w:r>
        <w:rPr>
          <w:rStyle w:val="FootnoteReference"/>
        </w:rPr>
        <w:footnoteRef/>
      </w:r>
      <w:r>
        <w:t xml:space="preserve"> </w:t>
      </w:r>
      <w:r w:rsidRPr="001D3C73">
        <w:t>https://link.springer.com/article/10.1007/s10926-014-9513-x</w:t>
      </w:r>
    </w:p>
  </w:footnote>
  <w:footnote w:id="13">
    <w:p w14:paraId="236E902B" w14:textId="1019257C" w:rsidR="00A93817" w:rsidRPr="00A93817" w:rsidRDefault="00242D4D">
      <w:pPr>
        <w:pStyle w:val="FootnoteText"/>
        <w:rPr>
          <w:lang w:val="en-CA"/>
        </w:rPr>
      </w:pPr>
      <w:r w:rsidRPr="00242D4D">
        <w:rPr>
          <w:sz w:val="18"/>
          <w:szCs w:val="18"/>
        </w:rPr>
        <w:t>11</w:t>
      </w:r>
      <w:r w:rsidR="00A93817" w:rsidRPr="00242D4D">
        <w:rPr>
          <w:sz w:val="18"/>
          <w:szCs w:val="18"/>
        </w:rPr>
        <w:t>h</w:t>
      </w:r>
      <w:r w:rsidR="00A93817" w:rsidRPr="00A93817">
        <w:t>ttps://www.academia.edu/1546220/The_discourse_of_abuse_in_return_to_work_A_hidden_epidemic_of_suffering</w:t>
      </w:r>
    </w:p>
  </w:footnote>
  <w:footnote w:id="14">
    <w:p w14:paraId="103EDA15" w14:textId="035233AB" w:rsidR="005F76F9" w:rsidRDefault="005F76F9">
      <w:pPr>
        <w:pStyle w:val="FootnoteText"/>
      </w:pPr>
      <w:r>
        <w:rPr>
          <w:rStyle w:val="FootnoteReference"/>
        </w:rPr>
        <w:footnoteRef/>
      </w:r>
      <w:r>
        <w:t xml:space="preserve"> </w:t>
      </w:r>
      <w:hyperlink r:id="rId3" w:history="1">
        <w:r w:rsidRPr="00904185">
          <w:rPr>
            <w:rStyle w:val="Hyperlink"/>
          </w:rPr>
          <w:t>https://pubmed.ncbi.nlm.nih.gov/20140752/</w:t>
        </w:r>
      </w:hyperlink>
    </w:p>
    <w:p w14:paraId="7EA97BA7" w14:textId="77777777" w:rsidR="005F76F9" w:rsidRPr="005F76F9" w:rsidRDefault="005F76F9">
      <w:pPr>
        <w:pStyle w:val="FootnoteText"/>
        <w:rPr>
          <w:lang w:val="en-CA"/>
        </w:rPr>
      </w:pPr>
    </w:p>
  </w:footnote>
  <w:footnote w:id="15">
    <w:p w14:paraId="62B8DFAF" w14:textId="3CCFABF8" w:rsidR="005F76F9" w:rsidRDefault="005F76F9">
      <w:pPr>
        <w:pStyle w:val="FootnoteText"/>
      </w:pPr>
      <w:r>
        <w:rPr>
          <w:rStyle w:val="FootnoteReference"/>
        </w:rPr>
        <w:footnoteRef/>
      </w:r>
      <w:r>
        <w:t xml:space="preserve"> </w:t>
      </w:r>
      <w:hyperlink r:id="rId4" w:history="1">
        <w:r w:rsidRPr="00904185">
          <w:rPr>
            <w:rStyle w:val="Hyperlink"/>
          </w:rPr>
          <w:t>https://www.thestar.com/news/canada/wsib-policy-pushes-hurt-workers-into-humiliating-jobs-and-unemployment-critics-say/article_42a6ca11-e8fd-5ab4-b9c3-e2e3ea16a4c3.html</w:t>
        </w:r>
      </w:hyperlink>
    </w:p>
    <w:p w14:paraId="474F5481" w14:textId="254511F2" w:rsidR="005F76F9" w:rsidRPr="005F76F9" w:rsidRDefault="005F76F9">
      <w:pPr>
        <w:pStyle w:val="FootnoteText"/>
        <w:rPr>
          <w:lang w:val="en-CA"/>
        </w:rPr>
      </w:pPr>
      <w:r w:rsidRPr="005F76F9">
        <w:rPr>
          <w:lang w:val="en-CA"/>
        </w:rPr>
        <w:t>https://injuredworkersonline.org/issue/return-to-work/</w:t>
      </w:r>
    </w:p>
  </w:footnote>
  <w:footnote w:id="16">
    <w:p w14:paraId="56658C05" w14:textId="2D3A475B" w:rsidR="004E661A" w:rsidRPr="004E661A" w:rsidRDefault="004E661A">
      <w:pPr>
        <w:pStyle w:val="FootnoteText"/>
        <w:rPr>
          <w:lang w:val="en-CA"/>
        </w:rPr>
      </w:pPr>
      <w:r>
        <w:rPr>
          <w:rStyle w:val="FootnoteReference"/>
        </w:rPr>
        <w:footnoteRef/>
      </w:r>
      <w:r>
        <w:t xml:space="preserve"> </w:t>
      </w:r>
      <w:r w:rsidRPr="004E661A">
        <w:t>https://injuredworkersonline.org/wp-content/uploads/2018/03/ONIWG_IW-unemployment_Feb2018.pdf</w:t>
      </w:r>
    </w:p>
  </w:footnote>
  <w:footnote w:id="17">
    <w:p w14:paraId="57B07C28" w14:textId="23899ABF" w:rsidR="00E91953" w:rsidRPr="00E91953" w:rsidRDefault="00E91953">
      <w:pPr>
        <w:pStyle w:val="FootnoteText"/>
        <w:rPr>
          <w:lang w:val="en-CA"/>
        </w:rPr>
      </w:pPr>
      <w:r>
        <w:rPr>
          <w:rStyle w:val="FootnoteReference"/>
        </w:rPr>
        <w:footnoteRef/>
      </w:r>
      <w:r>
        <w:t xml:space="preserve"> </w:t>
      </w:r>
      <w:r w:rsidRPr="00E91953">
        <w:t>https://www.bu.edu/sph/news/articles/2019/workplace-injuries-contribute-to-rise-in-suicide-overdose-deaths/#:~:text=Workplace%20Injuries%20Contribute%20to%20Rise%20in%20Suicide%2C%20Overdose%20Deaths.,increased%20opioid%20addiction%20and%20suicide.”</w:t>
      </w:r>
    </w:p>
  </w:footnote>
  <w:footnote w:id="18">
    <w:p w14:paraId="53EDB5AF" w14:textId="3CCC6124" w:rsidR="007D6B4D" w:rsidRPr="007D6B4D" w:rsidRDefault="007D6B4D">
      <w:pPr>
        <w:pStyle w:val="FootnoteText"/>
        <w:rPr>
          <w:lang w:val="en-CA"/>
        </w:rPr>
      </w:pPr>
      <w:r>
        <w:rPr>
          <w:rStyle w:val="FootnoteReference"/>
        </w:rPr>
        <w:footnoteRef/>
      </w:r>
      <w:r>
        <w:t xml:space="preserve"> </w:t>
      </w:r>
      <w:r w:rsidRPr="007D6B4D">
        <w:t>https://injuredworkersonline.org/wp-content/uploads/2017/02/Ltr_ONIWG_20160721_BetterAtWork.pdf</w:t>
      </w:r>
    </w:p>
  </w:footnote>
  <w:footnote w:id="19">
    <w:p w14:paraId="559D14A9" w14:textId="4DADFC9E" w:rsidR="007D6B4D" w:rsidRPr="007D6B4D" w:rsidRDefault="007D6B4D">
      <w:pPr>
        <w:pStyle w:val="FootnoteText"/>
        <w:rPr>
          <w:lang w:val="en-CA"/>
        </w:rPr>
      </w:pPr>
      <w:r>
        <w:rPr>
          <w:rStyle w:val="FootnoteReference"/>
        </w:rPr>
        <w:footnoteRef/>
      </w:r>
      <w:r>
        <w:t xml:space="preserve"> </w:t>
      </w:r>
      <w:r w:rsidRPr="007D6B4D">
        <w:t>https://injuredworkersonline.org/issue/return-to-work/</w:t>
      </w:r>
    </w:p>
  </w:footnote>
  <w:footnote w:id="20">
    <w:p w14:paraId="771DEED3" w14:textId="6AABE21C" w:rsidR="006300F2" w:rsidRPr="006300F2" w:rsidRDefault="006300F2">
      <w:pPr>
        <w:pStyle w:val="FootnoteText"/>
        <w:rPr>
          <w:lang w:val="en-CA"/>
        </w:rPr>
      </w:pPr>
      <w:r>
        <w:rPr>
          <w:rStyle w:val="FootnoteReference"/>
        </w:rPr>
        <w:footnoteRef/>
      </w:r>
      <w:r>
        <w:t xml:space="preserve"> </w:t>
      </w:r>
      <w:r w:rsidRPr="006300F2">
        <w:t>https://www.wsib.ca/en/news-release/wsib-pumps-over-2-billion-back-economy-2025-average-premium-rate-reduction-and-surplus</w:t>
      </w:r>
    </w:p>
  </w:footnote>
  <w:footnote w:id="21">
    <w:p w14:paraId="3DBADE88" w14:textId="77777777" w:rsidR="005814EE" w:rsidRPr="005814EE" w:rsidRDefault="005814EE" w:rsidP="005814EE">
      <w:pPr>
        <w:rPr>
          <w:sz w:val="24"/>
          <w:szCs w:val="24"/>
        </w:rPr>
      </w:pPr>
      <w:r>
        <w:rPr>
          <w:rStyle w:val="FootnoteReference"/>
        </w:rPr>
        <w:footnoteRef/>
      </w:r>
      <w:r>
        <w:t xml:space="preserve"> </w:t>
      </w:r>
      <w:r w:rsidRPr="00B10772">
        <w:t>According to the WSIB 2022 Annual Report, there were 95,218 lost time claims registered in that year.</w:t>
      </w:r>
    </w:p>
    <w:p w14:paraId="4A929574" w14:textId="44F7E298" w:rsidR="005814EE" w:rsidRPr="005814EE" w:rsidRDefault="005814EE">
      <w:pPr>
        <w:pStyle w:val="FootnoteText"/>
        <w:rPr>
          <w:lang w:val="en-CA"/>
        </w:rPr>
      </w:pPr>
    </w:p>
  </w:footnote>
  <w:footnote w:id="22">
    <w:p w14:paraId="7D930D91" w14:textId="1C30F5D5" w:rsidR="005814EE" w:rsidRPr="005814EE" w:rsidRDefault="005814EE">
      <w:pPr>
        <w:pStyle w:val="FootnoteText"/>
        <w:rPr>
          <w:lang w:val="en-CA"/>
        </w:rPr>
      </w:pPr>
      <w:r>
        <w:rPr>
          <w:rStyle w:val="FootnoteReference"/>
        </w:rPr>
        <w:footnoteRef/>
      </w:r>
      <w:r>
        <w:t xml:space="preserve"> </w:t>
      </w:r>
      <w:r w:rsidRPr="007205D0">
        <w:rPr>
          <w:color w:val="111111"/>
          <w:shd w:val="clear" w:color="auto" w:fill="FFFFFF"/>
        </w:rPr>
        <w:t>Peri Ballantyne</w:t>
      </w:r>
      <w:r>
        <w:rPr>
          <w:color w:val="111111"/>
          <w:shd w:val="clear" w:color="auto" w:fill="FFFFFF"/>
        </w:rPr>
        <w:t xml:space="preserve"> et al.</w:t>
      </w:r>
      <w:r w:rsidRPr="007205D0">
        <w:rPr>
          <w:color w:val="111111"/>
          <w:shd w:val="clear" w:color="auto" w:fill="FFFFFF"/>
        </w:rPr>
        <w:t xml:space="preserve">, </w:t>
      </w:r>
      <w:r>
        <w:rPr>
          <w:color w:val="111111"/>
          <w:shd w:val="clear" w:color="auto" w:fill="FFFFFF"/>
        </w:rPr>
        <w:t>“</w:t>
      </w:r>
      <w:r w:rsidRPr="007205D0">
        <w:rPr>
          <w:color w:val="111111"/>
          <w:shd w:val="clear" w:color="auto" w:fill="FFFFFF"/>
        </w:rPr>
        <w:t xml:space="preserve">Poverty </w:t>
      </w:r>
      <w:r>
        <w:rPr>
          <w:color w:val="111111"/>
          <w:shd w:val="clear" w:color="auto" w:fill="FFFFFF"/>
        </w:rPr>
        <w:t>S</w:t>
      </w:r>
      <w:r w:rsidRPr="007205D0">
        <w:rPr>
          <w:color w:val="111111"/>
          <w:shd w:val="clear" w:color="auto" w:fill="FFFFFF"/>
        </w:rPr>
        <w:t xml:space="preserve">tatus of </w:t>
      </w:r>
      <w:r>
        <w:rPr>
          <w:color w:val="111111"/>
          <w:shd w:val="clear" w:color="auto" w:fill="FFFFFF"/>
        </w:rPr>
        <w:t>W</w:t>
      </w:r>
      <w:r w:rsidRPr="007205D0">
        <w:rPr>
          <w:color w:val="111111"/>
          <w:shd w:val="clear" w:color="auto" w:fill="FFFFFF"/>
        </w:rPr>
        <w:t xml:space="preserve">orker </w:t>
      </w:r>
      <w:r>
        <w:rPr>
          <w:color w:val="111111"/>
          <w:shd w:val="clear" w:color="auto" w:fill="FFFFFF"/>
        </w:rPr>
        <w:t>C</w:t>
      </w:r>
      <w:r w:rsidRPr="007205D0">
        <w:rPr>
          <w:color w:val="111111"/>
          <w:shd w:val="clear" w:color="auto" w:fill="FFFFFF"/>
        </w:rPr>
        <w:t xml:space="preserve">ompensation </w:t>
      </w:r>
      <w:r>
        <w:rPr>
          <w:color w:val="111111"/>
          <w:shd w:val="clear" w:color="auto" w:fill="FFFFFF"/>
        </w:rPr>
        <w:t>C</w:t>
      </w:r>
      <w:r w:rsidRPr="007205D0">
        <w:rPr>
          <w:color w:val="111111"/>
          <w:shd w:val="clear" w:color="auto" w:fill="FFFFFF"/>
        </w:rPr>
        <w:t>laima</w:t>
      </w:r>
      <w:r>
        <w:rPr>
          <w:color w:val="111111"/>
          <w:shd w:val="clear" w:color="auto" w:fill="FFFFFF"/>
        </w:rPr>
        <w:t>nts with Permanent Impairments,”</w:t>
      </w:r>
      <w:r w:rsidRPr="007205D0">
        <w:rPr>
          <w:color w:val="111111"/>
          <w:shd w:val="clear" w:color="auto" w:fill="FFFFFF"/>
        </w:rPr>
        <w:t xml:space="preserve"> </w:t>
      </w:r>
      <w:r w:rsidRPr="007205D0">
        <w:rPr>
          <w:i/>
          <w:color w:val="111111"/>
          <w:shd w:val="clear" w:color="auto" w:fill="FFFFFF"/>
        </w:rPr>
        <w:t>Critical Public Health</w:t>
      </w:r>
      <w:r>
        <w:rPr>
          <w:i/>
          <w:color w:val="111111"/>
          <w:shd w:val="clear" w:color="auto" w:fill="FFFFFF"/>
        </w:rPr>
        <w:t xml:space="preserve"> </w:t>
      </w:r>
      <w:r>
        <w:rPr>
          <w:iCs/>
          <w:color w:val="111111"/>
          <w:shd w:val="clear" w:color="auto" w:fill="FFFFFF"/>
        </w:rPr>
        <w:t>26</w:t>
      </w:r>
      <w:r w:rsidRPr="007205D0">
        <w:rPr>
          <w:color w:val="111111"/>
          <w:shd w:val="clear" w:color="auto" w:fill="FFFFFF"/>
        </w:rPr>
        <w:t xml:space="preserve">, </w:t>
      </w:r>
      <w:r>
        <w:rPr>
          <w:color w:val="111111"/>
          <w:shd w:val="clear" w:color="auto" w:fill="FFFFFF"/>
        </w:rPr>
        <w:t>no. 2</w:t>
      </w:r>
      <w:r w:rsidRPr="007205D0">
        <w:rPr>
          <w:color w:val="111111"/>
          <w:shd w:val="clear" w:color="auto" w:fill="FFFFFF"/>
        </w:rPr>
        <w:t xml:space="preserve"> (201</w:t>
      </w:r>
      <w:r>
        <w:rPr>
          <w:color w:val="111111"/>
          <w:shd w:val="clear" w:color="auto" w:fill="FFFFFF"/>
        </w:rPr>
        <w:t>6</w:t>
      </w:r>
      <w:r w:rsidRPr="007205D0">
        <w:rPr>
          <w:color w:val="111111"/>
          <w:shd w:val="clear" w:color="auto" w:fill="FFFFFF"/>
        </w:rPr>
        <w:t>)</w:t>
      </w:r>
      <w:r>
        <w:rPr>
          <w:color w:val="111111"/>
          <w:shd w:val="clear" w:color="auto" w:fill="FFFFFF"/>
        </w:rPr>
        <w:t>: 173-190.</w:t>
      </w:r>
      <w:r w:rsidRPr="007205D0">
        <w:rPr>
          <w:color w:val="111111"/>
          <w:shd w:val="clear" w:color="auto" w:fill="FFFFFF"/>
        </w:rPr>
        <w:t xml:space="preserve"> </w:t>
      </w:r>
      <w:hyperlink r:id="rId5" w:history="1">
        <w:r w:rsidRPr="008A39D7">
          <w:rPr>
            <w:rStyle w:val="Hyperlink"/>
            <w:rFonts w:eastAsiaTheme="majorEastAsia"/>
            <w:shd w:val="clear" w:color="auto" w:fill="FFFFFF"/>
          </w:rPr>
          <w:t>https://www.researchgate.net/publication/275952209_Poverty_status_of_worker_compensation_claimants_with_permanent_impairments</w:t>
        </w:r>
      </w:hyperlink>
    </w:p>
  </w:footnote>
  <w:footnote w:id="23">
    <w:p w14:paraId="568799CC" w14:textId="45D7B2A1" w:rsidR="001173EC" w:rsidRPr="0052116D" w:rsidRDefault="001173EC" w:rsidP="00AC4A28">
      <w:pPr>
        <w:pStyle w:val="NormalWeb"/>
        <w:shd w:val="clear" w:color="auto" w:fill="FFFFFF"/>
        <w:rPr>
          <w:sz w:val="20"/>
          <w:szCs w:val="20"/>
        </w:rPr>
      </w:pPr>
      <w:r w:rsidRPr="00AC4A28">
        <w:rPr>
          <w:rStyle w:val="FootnoteReference"/>
        </w:rPr>
        <w:footnoteRef/>
      </w:r>
      <w:r w:rsidRPr="00AC4A28">
        <w:t xml:space="preserve"> </w:t>
      </w:r>
      <w:r w:rsidRPr="0052116D">
        <w:rPr>
          <w:sz w:val="20"/>
          <w:szCs w:val="20"/>
        </w:rPr>
        <w:t xml:space="preserve">Claim Suppression: The Elephant in the Workplace – Report to the Board of Directors, BC Workers' Compensation Board, March 9, 2022 </w:t>
      </w:r>
    </w:p>
  </w:footnote>
  <w:footnote w:id="24">
    <w:p w14:paraId="5449A2AF" w14:textId="0B18F22B" w:rsidR="00AC4A28" w:rsidRPr="00AC4A28" w:rsidRDefault="00AC4A28">
      <w:pPr>
        <w:pStyle w:val="FootnoteText"/>
        <w:rPr>
          <w:lang w:val="en-CA"/>
        </w:rPr>
      </w:pPr>
      <w:r w:rsidRPr="0052116D">
        <w:rPr>
          <w:rStyle w:val="FootnoteReference"/>
        </w:rPr>
        <w:footnoteRef/>
      </w:r>
      <w:r w:rsidRPr="0052116D">
        <w:t xml:space="preserve"> Available at: </w:t>
      </w:r>
      <w:hyperlink r:id="rId6" w:history="1">
        <w:r w:rsidRPr="0052116D">
          <w:rPr>
            <w:rStyle w:val="Hyperlink"/>
            <w:rFonts w:eastAsiaTheme="majorEastAsia"/>
          </w:rPr>
          <w:t>https://injuredworkersonline.org/wp-content/uploads/2019/09/ONIWG_Submission-22nd-Session-CRPD_2019.pdf</w:t>
        </w:r>
      </w:hyperlink>
      <w:r>
        <w:t>.</w:t>
      </w:r>
    </w:p>
  </w:footnote>
  <w:footnote w:id="25">
    <w:p w14:paraId="5E40848F" w14:textId="0E56ADA0" w:rsidR="007B4119" w:rsidRPr="007B4119" w:rsidRDefault="007B4119">
      <w:pPr>
        <w:pStyle w:val="FootnoteText"/>
        <w:rPr>
          <w:lang w:val="en-CA"/>
        </w:rPr>
      </w:pPr>
      <w:r>
        <w:rPr>
          <w:rStyle w:val="FootnoteReference"/>
        </w:rPr>
        <w:footnoteRef/>
      </w:r>
      <w:r>
        <w:t xml:space="preserve"> </w:t>
      </w:r>
      <w:r>
        <w:rPr>
          <w:lang w:val="en-CA"/>
        </w:rPr>
        <w:t>WSIB Annual Report 2022</w:t>
      </w:r>
    </w:p>
  </w:footnote>
  <w:footnote w:id="26">
    <w:p w14:paraId="5C77DF9C" w14:textId="2326DC2B" w:rsidR="00F25946" w:rsidRPr="00F25946" w:rsidRDefault="00F25946">
      <w:pPr>
        <w:pStyle w:val="FootnoteText"/>
        <w:rPr>
          <w:lang w:val="en-CA"/>
        </w:rPr>
      </w:pPr>
      <w:r>
        <w:rPr>
          <w:rStyle w:val="FootnoteReference"/>
        </w:rPr>
        <w:footnoteRef/>
      </w:r>
      <w:r>
        <w:t xml:space="preserve"> </w:t>
      </w:r>
      <w:r w:rsidRPr="00F25946">
        <w:t>https://www.occupationalcancer.ca/wp-content/uploads/2020/07/Final-Report-Using-scientific-evidence-and-principles-to-help-determine-the-work-relatedness-of-cancer-Final-April2020.pdf</w:t>
      </w:r>
    </w:p>
  </w:footnote>
  <w:footnote w:id="27">
    <w:p w14:paraId="67C444BA" w14:textId="26D1B1D8" w:rsidR="00F25946" w:rsidRPr="00F25946" w:rsidRDefault="00F25946">
      <w:pPr>
        <w:pStyle w:val="FootnoteText"/>
        <w:rPr>
          <w:lang w:val="en-CA"/>
        </w:rPr>
      </w:pPr>
      <w:r>
        <w:rPr>
          <w:rStyle w:val="FootnoteReference"/>
        </w:rPr>
        <w:footnoteRef/>
      </w:r>
      <w:r>
        <w:t xml:space="preserve"> </w:t>
      </w:r>
      <w:r w:rsidRPr="00F25946">
        <w:t>https://www.cancercareontario.ca/en/node/57876</w:t>
      </w:r>
    </w:p>
  </w:footnote>
  <w:footnote w:id="28">
    <w:p w14:paraId="45EDF846" w14:textId="33B51639" w:rsidR="0083089D" w:rsidRPr="0083089D" w:rsidRDefault="0083089D">
      <w:pPr>
        <w:pStyle w:val="FootnoteText"/>
        <w:rPr>
          <w:lang w:val="en-CA"/>
        </w:rPr>
      </w:pPr>
      <w:r>
        <w:rPr>
          <w:rStyle w:val="FootnoteReference"/>
        </w:rPr>
        <w:footnoteRef/>
      </w:r>
      <w:r>
        <w:t xml:space="preserve"> </w:t>
      </w:r>
      <w:r w:rsidRPr="0083089D">
        <w:t>https://www.ontario.ca/document/occupational-disease-landscape-review</w:t>
      </w:r>
    </w:p>
  </w:footnote>
  <w:footnote w:id="29">
    <w:p w14:paraId="4BBDEFA5" w14:textId="77777777" w:rsidR="00F809AA" w:rsidRPr="00F01944" w:rsidRDefault="00F809AA" w:rsidP="00F809AA">
      <w:pPr>
        <w:pStyle w:val="FootnoteText"/>
        <w:rPr>
          <w:rFonts w:ascii="Arial" w:hAnsi="Arial" w:cs="Arial"/>
        </w:rPr>
      </w:pPr>
      <w:r w:rsidRPr="00F01944">
        <w:rPr>
          <w:rStyle w:val="FootnoteReference"/>
          <w:rFonts w:ascii="Arial" w:hAnsi="Arial" w:cs="Arial"/>
        </w:rPr>
        <w:footnoteRef/>
      </w:r>
      <w:r w:rsidRPr="00F01944">
        <w:rPr>
          <w:rFonts w:ascii="Arial" w:hAnsi="Arial" w:cs="Arial"/>
        </w:rPr>
        <w:t xml:space="preserve"> Workplace Safety and Insurance Board 2024 Annual Report. Accessed online, URL: </w:t>
      </w:r>
      <w:hyperlink r:id="rId7" w:history="1">
        <w:r w:rsidRPr="00F01944">
          <w:rPr>
            <w:rStyle w:val="Hyperlink"/>
            <w:rFonts w:ascii="Arial" w:hAnsi="Arial" w:cs="Arial"/>
          </w:rPr>
          <w:t>https://tinyurl.com/4krtj5uu</w:t>
        </w:r>
      </w:hyperlink>
      <w:r w:rsidRPr="00F01944">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166E"/>
    <w:multiLevelType w:val="hybridMultilevel"/>
    <w:tmpl w:val="4F5CDD7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Verdana"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Verdan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Verdana"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C6F7A"/>
    <w:multiLevelType w:val="hybridMultilevel"/>
    <w:tmpl w:val="CA76C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7A19F6"/>
    <w:multiLevelType w:val="hybridMultilevel"/>
    <w:tmpl w:val="517EA83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CA60D9A"/>
    <w:multiLevelType w:val="hybridMultilevel"/>
    <w:tmpl w:val="5566C422"/>
    <w:lvl w:ilvl="0" w:tplc="860AAB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006F3"/>
    <w:multiLevelType w:val="hybridMultilevel"/>
    <w:tmpl w:val="A61AA20E"/>
    <w:lvl w:ilvl="0" w:tplc="8D02F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D8293D"/>
    <w:multiLevelType w:val="hybridMultilevel"/>
    <w:tmpl w:val="755602E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Verdana"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Verdan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Verdana"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E6154"/>
    <w:multiLevelType w:val="multilevel"/>
    <w:tmpl w:val="6084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8586C"/>
    <w:multiLevelType w:val="hybridMultilevel"/>
    <w:tmpl w:val="517EA83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DB16C6B"/>
    <w:multiLevelType w:val="hybridMultilevel"/>
    <w:tmpl w:val="517EA83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F4155DC"/>
    <w:multiLevelType w:val="multilevel"/>
    <w:tmpl w:val="392A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F4951"/>
    <w:multiLevelType w:val="hybridMultilevel"/>
    <w:tmpl w:val="301ADC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51F6706"/>
    <w:multiLevelType w:val="hybridMultilevel"/>
    <w:tmpl w:val="DB5268F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EE86BB4"/>
    <w:multiLevelType w:val="hybridMultilevel"/>
    <w:tmpl w:val="517EA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1B2C06"/>
    <w:multiLevelType w:val="multilevel"/>
    <w:tmpl w:val="4E38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CD3BF0"/>
    <w:multiLevelType w:val="hybridMultilevel"/>
    <w:tmpl w:val="E8A468D4"/>
    <w:lvl w:ilvl="0" w:tplc="9F2005C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D1044F"/>
    <w:multiLevelType w:val="hybridMultilevel"/>
    <w:tmpl w:val="D6A28E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Verdana"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Verdan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Verdana"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753433709">
    <w:abstractNumId w:val="3"/>
  </w:num>
  <w:num w:numId="2" w16cid:durableId="1983076973">
    <w:abstractNumId w:val="12"/>
  </w:num>
  <w:num w:numId="3" w16cid:durableId="897715236">
    <w:abstractNumId w:val="2"/>
  </w:num>
  <w:num w:numId="4" w16cid:durableId="474882609">
    <w:abstractNumId w:val="8"/>
  </w:num>
  <w:num w:numId="5" w16cid:durableId="1160149984">
    <w:abstractNumId w:val="0"/>
  </w:num>
  <w:num w:numId="6" w16cid:durableId="248199841">
    <w:abstractNumId w:val="5"/>
  </w:num>
  <w:num w:numId="7" w16cid:durableId="1820342059">
    <w:abstractNumId w:val="15"/>
  </w:num>
  <w:num w:numId="8" w16cid:durableId="546144211">
    <w:abstractNumId w:val="11"/>
  </w:num>
  <w:num w:numId="9" w16cid:durableId="790175103">
    <w:abstractNumId w:val="14"/>
  </w:num>
  <w:num w:numId="10" w16cid:durableId="1816992624">
    <w:abstractNumId w:val="10"/>
  </w:num>
  <w:num w:numId="11" w16cid:durableId="1376614865">
    <w:abstractNumId w:val="1"/>
  </w:num>
  <w:num w:numId="12" w16cid:durableId="392779136">
    <w:abstractNumId w:val="4"/>
  </w:num>
  <w:num w:numId="13" w16cid:durableId="2020693326">
    <w:abstractNumId w:val="7"/>
  </w:num>
  <w:num w:numId="14" w16cid:durableId="2101950464">
    <w:abstractNumId w:val="6"/>
  </w:num>
  <w:num w:numId="15" w16cid:durableId="1033649070">
    <w:abstractNumId w:val="9"/>
  </w:num>
  <w:num w:numId="16" w16cid:durableId="1018117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91"/>
    <w:rsid w:val="00042106"/>
    <w:rsid w:val="000669AB"/>
    <w:rsid w:val="0008269D"/>
    <w:rsid w:val="000A00A9"/>
    <w:rsid w:val="000A68B1"/>
    <w:rsid w:val="000E068F"/>
    <w:rsid w:val="001173EC"/>
    <w:rsid w:val="00153B5A"/>
    <w:rsid w:val="00164A75"/>
    <w:rsid w:val="00172ADF"/>
    <w:rsid w:val="00175448"/>
    <w:rsid w:val="001828A5"/>
    <w:rsid w:val="0018313F"/>
    <w:rsid w:val="00183143"/>
    <w:rsid w:val="001A5C07"/>
    <w:rsid w:val="001D3C73"/>
    <w:rsid w:val="0023296C"/>
    <w:rsid w:val="00242D4D"/>
    <w:rsid w:val="002A54B4"/>
    <w:rsid w:val="002E2488"/>
    <w:rsid w:val="002E2A53"/>
    <w:rsid w:val="00300162"/>
    <w:rsid w:val="003029C7"/>
    <w:rsid w:val="00305395"/>
    <w:rsid w:val="00342CFA"/>
    <w:rsid w:val="003919A3"/>
    <w:rsid w:val="003D31EB"/>
    <w:rsid w:val="003D7D54"/>
    <w:rsid w:val="00414A26"/>
    <w:rsid w:val="00421900"/>
    <w:rsid w:val="00451ACA"/>
    <w:rsid w:val="00474AE2"/>
    <w:rsid w:val="004959BD"/>
    <w:rsid w:val="004E661A"/>
    <w:rsid w:val="0052116D"/>
    <w:rsid w:val="005814EE"/>
    <w:rsid w:val="00593B66"/>
    <w:rsid w:val="005979E6"/>
    <w:rsid w:val="005A1B60"/>
    <w:rsid w:val="005B59B3"/>
    <w:rsid w:val="005F76F9"/>
    <w:rsid w:val="00627E09"/>
    <w:rsid w:val="006300F2"/>
    <w:rsid w:val="0064313C"/>
    <w:rsid w:val="0064431B"/>
    <w:rsid w:val="006D36B8"/>
    <w:rsid w:val="0070573F"/>
    <w:rsid w:val="00721AF7"/>
    <w:rsid w:val="00736416"/>
    <w:rsid w:val="00737491"/>
    <w:rsid w:val="007744C7"/>
    <w:rsid w:val="007B4119"/>
    <w:rsid w:val="007D6B4D"/>
    <w:rsid w:val="007E16E8"/>
    <w:rsid w:val="007E58C0"/>
    <w:rsid w:val="0083089D"/>
    <w:rsid w:val="00861460"/>
    <w:rsid w:val="00864C5E"/>
    <w:rsid w:val="00876F95"/>
    <w:rsid w:val="008915C4"/>
    <w:rsid w:val="008A44CF"/>
    <w:rsid w:val="008B6E6B"/>
    <w:rsid w:val="008E0FAF"/>
    <w:rsid w:val="008F17C3"/>
    <w:rsid w:val="00931969"/>
    <w:rsid w:val="00944FD8"/>
    <w:rsid w:val="00973C2C"/>
    <w:rsid w:val="00990C55"/>
    <w:rsid w:val="00996B02"/>
    <w:rsid w:val="009D588C"/>
    <w:rsid w:val="00A53CB9"/>
    <w:rsid w:val="00A53E64"/>
    <w:rsid w:val="00A704A7"/>
    <w:rsid w:val="00A76056"/>
    <w:rsid w:val="00A93817"/>
    <w:rsid w:val="00AB0F05"/>
    <w:rsid w:val="00AC4A28"/>
    <w:rsid w:val="00AD5ED2"/>
    <w:rsid w:val="00AE3B13"/>
    <w:rsid w:val="00AE76ED"/>
    <w:rsid w:val="00B10772"/>
    <w:rsid w:val="00B23FDA"/>
    <w:rsid w:val="00B73441"/>
    <w:rsid w:val="00BA50D4"/>
    <w:rsid w:val="00BA729A"/>
    <w:rsid w:val="00C10B57"/>
    <w:rsid w:val="00C16780"/>
    <w:rsid w:val="00C5627C"/>
    <w:rsid w:val="00C7616F"/>
    <w:rsid w:val="00CC5B38"/>
    <w:rsid w:val="00CD288D"/>
    <w:rsid w:val="00CE0D81"/>
    <w:rsid w:val="00CE3CD9"/>
    <w:rsid w:val="00D063F4"/>
    <w:rsid w:val="00D2232D"/>
    <w:rsid w:val="00D24152"/>
    <w:rsid w:val="00D468AC"/>
    <w:rsid w:val="00D81861"/>
    <w:rsid w:val="00D84ACA"/>
    <w:rsid w:val="00DA66EF"/>
    <w:rsid w:val="00DD796A"/>
    <w:rsid w:val="00DF6A83"/>
    <w:rsid w:val="00E06AED"/>
    <w:rsid w:val="00E439F4"/>
    <w:rsid w:val="00E6148E"/>
    <w:rsid w:val="00E91953"/>
    <w:rsid w:val="00E96B16"/>
    <w:rsid w:val="00F04B7B"/>
    <w:rsid w:val="00F25946"/>
    <w:rsid w:val="00F3032F"/>
    <w:rsid w:val="00F57726"/>
    <w:rsid w:val="00F809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152C"/>
  <w15:chartTrackingRefBased/>
  <w15:docId w15:val="{87CB6D77-6DA8-6541-A0CC-C8C3668E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91"/>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37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4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4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4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4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491"/>
    <w:rPr>
      <w:rFonts w:eastAsiaTheme="majorEastAsia" w:cstheme="majorBidi"/>
      <w:color w:val="272727" w:themeColor="text1" w:themeTint="D8"/>
    </w:rPr>
  </w:style>
  <w:style w:type="paragraph" w:styleId="Title">
    <w:name w:val="Title"/>
    <w:basedOn w:val="Normal"/>
    <w:next w:val="Normal"/>
    <w:link w:val="TitleChar"/>
    <w:uiPriority w:val="10"/>
    <w:qFormat/>
    <w:rsid w:val="007374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491"/>
    <w:pPr>
      <w:spacing w:before="160"/>
      <w:jc w:val="center"/>
    </w:pPr>
    <w:rPr>
      <w:i/>
      <w:iCs/>
      <w:color w:val="404040" w:themeColor="text1" w:themeTint="BF"/>
    </w:rPr>
  </w:style>
  <w:style w:type="character" w:customStyle="1" w:styleId="QuoteChar">
    <w:name w:val="Quote Char"/>
    <w:basedOn w:val="DefaultParagraphFont"/>
    <w:link w:val="Quote"/>
    <w:uiPriority w:val="29"/>
    <w:rsid w:val="00737491"/>
    <w:rPr>
      <w:i/>
      <w:iCs/>
      <w:color w:val="404040" w:themeColor="text1" w:themeTint="BF"/>
    </w:rPr>
  </w:style>
  <w:style w:type="paragraph" w:styleId="ListParagraph">
    <w:name w:val="List Paragraph"/>
    <w:basedOn w:val="Normal"/>
    <w:uiPriority w:val="34"/>
    <w:qFormat/>
    <w:rsid w:val="00737491"/>
    <w:pPr>
      <w:ind w:left="720"/>
      <w:contextualSpacing/>
    </w:pPr>
  </w:style>
  <w:style w:type="character" w:styleId="IntenseEmphasis">
    <w:name w:val="Intense Emphasis"/>
    <w:basedOn w:val="DefaultParagraphFont"/>
    <w:uiPriority w:val="21"/>
    <w:qFormat/>
    <w:rsid w:val="00737491"/>
    <w:rPr>
      <w:i/>
      <w:iCs/>
      <w:color w:val="0F4761" w:themeColor="accent1" w:themeShade="BF"/>
    </w:rPr>
  </w:style>
  <w:style w:type="paragraph" w:styleId="IntenseQuote">
    <w:name w:val="Intense Quote"/>
    <w:basedOn w:val="Normal"/>
    <w:next w:val="Normal"/>
    <w:link w:val="IntenseQuoteChar"/>
    <w:uiPriority w:val="30"/>
    <w:qFormat/>
    <w:rsid w:val="00737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491"/>
    <w:rPr>
      <w:i/>
      <w:iCs/>
      <w:color w:val="0F4761" w:themeColor="accent1" w:themeShade="BF"/>
    </w:rPr>
  </w:style>
  <w:style w:type="character" w:styleId="IntenseReference">
    <w:name w:val="Intense Reference"/>
    <w:basedOn w:val="DefaultParagraphFont"/>
    <w:uiPriority w:val="32"/>
    <w:qFormat/>
    <w:rsid w:val="00737491"/>
    <w:rPr>
      <w:b/>
      <w:bCs/>
      <w:smallCaps/>
      <w:color w:val="0F4761" w:themeColor="accent1" w:themeShade="BF"/>
      <w:spacing w:val="5"/>
    </w:rPr>
  </w:style>
  <w:style w:type="paragraph" w:styleId="NormalWeb">
    <w:name w:val="Normal (Web)"/>
    <w:basedOn w:val="Normal"/>
    <w:uiPriority w:val="99"/>
    <w:unhideWhenUsed/>
    <w:rsid w:val="004959BD"/>
    <w:pPr>
      <w:spacing w:before="100" w:beforeAutospacing="1" w:after="100" w:afterAutospacing="1"/>
    </w:pPr>
    <w:rPr>
      <w:sz w:val="24"/>
      <w:szCs w:val="24"/>
      <w:lang w:val="en-CA"/>
    </w:rPr>
  </w:style>
  <w:style w:type="character" w:customStyle="1" w:styleId="apple-converted-space">
    <w:name w:val="apple-converted-space"/>
    <w:basedOn w:val="DefaultParagraphFont"/>
    <w:rsid w:val="004959BD"/>
  </w:style>
  <w:style w:type="paragraph" w:styleId="FootnoteText">
    <w:name w:val="footnote text"/>
    <w:basedOn w:val="Normal"/>
    <w:link w:val="FootnoteTextChar"/>
    <w:uiPriority w:val="99"/>
    <w:semiHidden/>
    <w:unhideWhenUsed/>
    <w:rsid w:val="005814EE"/>
  </w:style>
  <w:style w:type="character" w:customStyle="1" w:styleId="FootnoteTextChar">
    <w:name w:val="Footnote Text Char"/>
    <w:basedOn w:val="DefaultParagraphFont"/>
    <w:link w:val="FootnoteText"/>
    <w:uiPriority w:val="99"/>
    <w:semiHidden/>
    <w:rsid w:val="005814EE"/>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5814EE"/>
    <w:rPr>
      <w:vertAlign w:val="superscript"/>
    </w:rPr>
  </w:style>
  <w:style w:type="character" w:styleId="Hyperlink">
    <w:name w:val="Hyperlink"/>
    <w:basedOn w:val="DefaultParagraphFont"/>
    <w:uiPriority w:val="99"/>
    <w:unhideWhenUsed/>
    <w:rsid w:val="005814EE"/>
    <w:rPr>
      <w:color w:val="467886" w:themeColor="hyperlink"/>
      <w:u w:val="single"/>
    </w:rPr>
  </w:style>
  <w:style w:type="paragraph" w:styleId="Footer">
    <w:name w:val="footer"/>
    <w:basedOn w:val="Normal"/>
    <w:link w:val="FooterChar"/>
    <w:uiPriority w:val="99"/>
    <w:unhideWhenUsed/>
    <w:rsid w:val="00990C55"/>
    <w:pPr>
      <w:tabs>
        <w:tab w:val="center" w:pos="4680"/>
        <w:tab w:val="right" w:pos="9360"/>
      </w:tabs>
    </w:pPr>
  </w:style>
  <w:style w:type="character" w:customStyle="1" w:styleId="FooterChar">
    <w:name w:val="Footer Char"/>
    <w:basedOn w:val="DefaultParagraphFont"/>
    <w:link w:val="Footer"/>
    <w:uiPriority w:val="99"/>
    <w:rsid w:val="00990C55"/>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semiHidden/>
    <w:unhideWhenUsed/>
    <w:rsid w:val="00990C55"/>
  </w:style>
  <w:style w:type="paragraph" w:customStyle="1" w:styleId="p1">
    <w:name w:val="p1"/>
    <w:basedOn w:val="Normal"/>
    <w:rsid w:val="00183143"/>
    <w:pPr>
      <w:spacing w:before="100" w:beforeAutospacing="1" w:after="100" w:afterAutospacing="1"/>
    </w:pPr>
    <w:rPr>
      <w:sz w:val="24"/>
      <w:szCs w:val="24"/>
      <w:lang w:val="en-CA"/>
    </w:rPr>
  </w:style>
  <w:style w:type="character" w:styleId="UnresolvedMention">
    <w:name w:val="Unresolved Mention"/>
    <w:basedOn w:val="DefaultParagraphFont"/>
    <w:uiPriority w:val="99"/>
    <w:semiHidden/>
    <w:unhideWhenUsed/>
    <w:rsid w:val="005979E6"/>
    <w:rPr>
      <w:color w:val="605E5C"/>
      <w:shd w:val="clear" w:color="auto" w:fill="E1DFDD"/>
    </w:rPr>
  </w:style>
  <w:style w:type="character" w:styleId="FollowedHyperlink">
    <w:name w:val="FollowedHyperlink"/>
    <w:basedOn w:val="DefaultParagraphFont"/>
    <w:uiPriority w:val="99"/>
    <w:semiHidden/>
    <w:unhideWhenUsed/>
    <w:rsid w:val="00593B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50916">
      <w:bodyDiv w:val="1"/>
      <w:marLeft w:val="0"/>
      <w:marRight w:val="0"/>
      <w:marTop w:val="0"/>
      <w:marBottom w:val="0"/>
      <w:divBdr>
        <w:top w:val="none" w:sz="0" w:space="0" w:color="auto"/>
        <w:left w:val="none" w:sz="0" w:space="0" w:color="auto"/>
        <w:bottom w:val="none" w:sz="0" w:space="0" w:color="auto"/>
        <w:right w:val="none" w:sz="0" w:space="0" w:color="auto"/>
      </w:divBdr>
    </w:div>
    <w:div w:id="559251357">
      <w:bodyDiv w:val="1"/>
      <w:marLeft w:val="0"/>
      <w:marRight w:val="0"/>
      <w:marTop w:val="0"/>
      <w:marBottom w:val="0"/>
      <w:divBdr>
        <w:top w:val="none" w:sz="0" w:space="0" w:color="auto"/>
        <w:left w:val="none" w:sz="0" w:space="0" w:color="auto"/>
        <w:bottom w:val="none" w:sz="0" w:space="0" w:color="auto"/>
        <w:right w:val="none" w:sz="0" w:space="0" w:color="auto"/>
      </w:divBdr>
    </w:div>
    <w:div w:id="564801571">
      <w:bodyDiv w:val="1"/>
      <w:marLeft w:val="0"/>
      <w:marRight w:val="0"/>
      <w:marTop w:val="0"/>
      <w:marBottom w:val="0"/>
      <w:divBdr>
        <w:top w:val="none" w:sz="0" w:space="0" w:color="auto"/>
        <w:left w:val="none" w:sz="0" w:space="0" w:color="auto"/>
        <w:bottom w:val="none" w:sz="0" w:space="0" w:color="auto"/>
        <w:right w:val="none" w:sz="0" w:space="0" w:color="auto"/>
      </w:divBdr>
      <w:divsChild>
        <w:div w:id="971322950">
          <w:marLeft w:val="0"/>
          <w:marRight w:val="0"/>
          <w:marTop w:val="0"/>
          <w:marBottom w:val="0"/>
          <w:divBdr>
            <w:top w:val="none" w:sz="0" w:space="0" w:color="auto"/>
            <w:left w:val="none" w:sz="0" w:space="0" w:color="auto"/>
            <w:bottom w:val="none" w:sz="0" w:space="0" w:color="auto"/>
            <w:right w:val="none" w:sz="0" w:space="0" w:color="auto"/>
          </w:divBdr>
          <w:divsChild>
            <w:div w:id="757215313">
              <w:marLeft w:val="0"/>
              <w:marRight w:val="0"/>
              <w:marTop w:val="0"/>
              <w:marBottom w:val="0"/>
              <w:divBdr>
                <w:top w:val="none" w:sz="0" w:space="0" w:color="auto"/>
                <w:left w:val="none" w:sz="0" w:space="0" w:color="auto"/>
                <w:bottom w:val="none" w:sz="0" w:space="0" w:color="auto"/>
                <w:right w:val="none" w:sz="0" w:space="0" w:color="auto"/>
              </w:divBdr>
              <w:divsChild>
                <w:div w:id="11885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8306">
      <w:bodyDiv w:val="1"/>
      <w:marLeft w:val="0"/>
      <w:marRight w:val="0"/>
      <w:marTop w:val="0"/>
      <w:marBottom w:val="0"/>
      <w:divBdr>
        <w:top w:val="none" w:sz="0" w:space="0" w:color="auto"/>
        <w:left w:val="none" w:sz="0" w:space="0" w:color="auto"/>
        <w:bottom w:val="none" w:sz="0" w:space="0" w:color="auto"/>
        <w:right w:val="none" w:sz="0" w:space="0" w:color="auto"/>
      </w:divBdr>
    </w:div>
    <w:div w:id="864833870">
      <w:bodyDiv w:val="1"/>
      <w:marLeft w:val="0"/>
      <w:marRight w:val="0"/>
      <w:marTop w:val="0"/>
      <w:marBottom w:val="0"/>
      <w:divBdr>
        <w:top w:val="none" w:sz="0" w:space="0" w:color="auto"/>
        <w:left w:val="none" w:sz="0" w:space="0" w:color="auto"/>
        <w:bottom w:val="none" w:sz="0" w:space="0" w:color="auto"/>
        <w:right w:val="none" w:sz="0" w:space="0" w:color="auto"/>
      </w:divBdr>
      <w:divsChild>
        <w:div w:id="1084498858">
          <w:marLeft w:val="0"/>
          <w:marRight w:val="0"/>
          <w:marTop w:val="0"/>
          <w:marBottom w:val="0"/>
          <w:divBdr>
            <w:top w:val="none" w:sz="0" w:space="0" w:color="auto"/>
            <w:left w:val="none" w:sz="0" w:space="0" w:color="auto"/>
            <w:bottom w:val="none" w:sz="0" w:space="0" w:color="auto"/>
            <w:right w:val="none" w:sz="0" w:space="0" w:color="auto"/>
          </w:divBdr>
          <w:divsChild>
            <w:div w:id="931667448">
              <w:marLeft w:val="0"/>
              <w:marRight w:val="0"/>
              <w:marTop w:val="0"/>
              <w:marBottom w:val="0"/>
              <w:divBdr>
                <w:top w:val="none" w:sz="0" w:space="0" w:color="auto"/>
                <w:left w:val="none" w:sz="0" w:space="0" w:color="auto"/>
                <w:bottom w:val="none" w:sz="0" w:space="0" w:color="auto"/>
                <w:right w:val="none" w:sz="0" w:space="0" w:color="auto"/>
              </w:divBdr>
              <w:divsChild>
                <w:div w:id="952596650">
                  <w:marLeft w:val="0"/>
                  <w:marRight w:val="0"/>
                  <w:marTop w:val="0"/>
                  <w:marBottom w:val="0"/>
                  <w:divBdr>
                    <w:top w:val="none" w:sz="0" w:space="0" w:color="auto"/>
                    <w:left w:val="none" w:sz="0" w:space="0" w:color="auto"/>
                    <w:bottom w:val="none" w:sz="0" w:space="0" w:color="auto"/>
                    <w:right w:val="none" w:sz="0" w:space="0" w:color="auto"/>
                  </w:divBdr>
                  <w:divsChild>
                    <w:div w:id="5209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3627">
      <w:bodyDiv w:val="1"/>
      <w:marLeft w:val="0"/>
      <w:marRight w:val="0"/>
      <w:marTop w:val="0"/>
      <w:marBottom w:val="0"/>
      <w:divBdr>
        <w:top w:val="none" w:sz="0" w:space="0" w:color="auto"/>
        <w:left w:val="none" w:sz="0" w:space="0" w:color="auto"/>
        <w:bottom w:val="none" w:sz="0" w:space="0" w:color="auto"/>
        <w:right w:val="none" w:sz="0" w:space="0" w:color="auto"/>
      </w:divBdr>
    </w:div>
    <w:div w:id="1369835073">
      <w:bodyDiv w:val="1"/>
      <w:marLeft w:val="0"/>
      <w:marRight w:val="0"/>
      <w:marTop w:val="0"/>
      <w:marBottom w:val="0"/>
      <w:divBdr>
        <w:top w:val="none" w:sz="0" w:space="0" w:color="auto"/>
        <w:left w:val="none" w:sz="0" w:space="0" w:color="auto"/>
        <w:bottom w:val="none" w:sz="0" w:space="0" w:color="auto"/>
        <w:right w:val="none" w:sz="0" w:space="0" w:color="auto"/>
      </w:divBdr>
      <w:divsChild>
        <w:div w:id="26836486">
          <w:marLeft w:val="0"/>
          <w:marRight w:val="0"/>
          <w:marTop w:val="0"/>
          <w:marBottom w:val="0"/>
          <w:divBdr>
            <w:top w:val="none" w:sz="0" w:space="0" w:color="auto"/>
            <w:left w:val="none" w:sz="0" w:space="0" w:color="auto"/>
            <w:bottom w:val="none" w:sz="0" w:space="0" w:color="auto"/>
            <w:right w:val="none" w:sz="0" w:space="0" w:color="auto"/>
          </w:divBdr>
          <w:divsChild>
            <w:div w:id="1339960006">
              <w:marLeft w:val="0"/>
              <w:marRight w:val="0"/>
              <w:marTop w:val="0"/>
              <w:marBottom w:val="0"/>
              <w:divBdr>
                <w:top w:val="none" w:sz="0" w:space="0" w:color="auto"/>
                <w:left w:val="none" w:sz="0" w:space="0" w:color="auto"/>
                <w:bottom w:val="none" w:sz="0" w:space="0" w:color="auto"/>
                <w:right w:val="none" w:sz="0" w:space="0" w:color="auto"/>
              </w:divBdr>
              <w:divsChild>
                <w:div w:id="776214088">
                  <w:marLeft w:val="0"/>
                  <w:marRight w:val="0"/>
                  <w:marTop w:val="0"/>
                  <w:marBottom w:val="0"/>
                  <w:divBdr>
                    <w:top w:val="none" w:sz="0" w:space="0" w:color="auto"/>
                    <w:left w:val="none" w:sz="0" w:space="0" w:color="auto"/>
                    <w:bottom w:val="none" w:sz="0" w:space="0" w:color="auto"/>
                    <w:right w:val="none" w:sz="0" w:space="0" w:color="auto"/>
                  </w:divBdr>
                  <w:divsChild>
                    <w:div w:id="11209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12400">
      <w:bodyDiv w:val="1"/>
      <w:marLeft w:val="0"/>
      <w:marRight w:val="0"/>
      <w:marTop w:val="0"/>
      <w:marBottom w:val="0"/>
      <w:divBdr>
        <w:top w:val="none" w:sz="0" w:space="0" w:color="auto"/>
        <w:left w:val="none" w:sz="0" w:space="0" w:color="auto"/>
        <w:bottom w:val="none" w:sz="0" w:space="0" w:color="auto"/>
        <w:right w:val="none" w:sz="0" w:space="0" w:color="auto"/>
      </w:divBdr>
    </w:div>
    <w:div w:id="1920361631">
      <w:bodyDiv w:val="1"/>
      <w:marLeft w:val="0"/>
      <w:marRight w:val="0"/>
      <w:marTop w:val="0"/>
      <w:marBottom w:val="0"/>
      <w:divBdr>
        <w:top w:val="none" w:sz="0" w:space="0" w:color="auto"/>
        <w:left w:val="none" w:sz="0" w:space="0" w:color="auto"/>
        <w:bottom w:val="none" w:sz="0" w:space="0" w:color="auto"/>
        <w:right w:val="none" w:sz="0" w:space="0" w:color="auto"/>
      </w:divBdr>
    </w:div>
    <w:div w:id="20774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fl.ca/demers-report-on-occupational-cancer-requires-immediate-action-to-review-denied-cancer-claims-says-ontario-federation-of-labo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ubmed.ncbi.nlm.nih.gov/20140752/" TargetMode="External"/><Relationship Id="rId7" Type="http://schemas.openxmlformats.org/officeDocument/2006/relationships/hyperlink" Target="https://tinyurl.com/4krtj5uu" TargetMode="External"/><Relationship Id="rId2" Type="http://schemas.openxmlformats.org/officeDocument/2006/relationships/hyperlink" Target="https://injuredworkersonline.org/issue/surveillance-and-stigma/" TargetMode="External"/><Relationship Id="rId1" Type="http://schemas.openxmlformats.org/officeDocument/2006/relationships/hyperlink" Target="https://journals.sagepub.com/doi/10.1177/10482911251314183" TargetMode="External"/><Relationship Id="rId6" Type="http://schemas.openxmlformats.org/officeDocument/2006/relationships/hyperlink" Target="https://injuredworkersonline.org/wp-content/uploads/2019/09/ONIWG_Submission-22nd-Session-CRPD_2019.pdf" TargetMode="External"/><Relationship Id="rId5" Type="http://schemas.openxmlformats.org/officeDocument/2006/relationships/hyperlink" Target="https://www.researchgate.net/publication/275952209_Poverty_status_of_worker_compensation_claimants_with_permanent_impairments" TargetMode="External"/><Relationship Id="rId4" Type="http://schemas.openxmlformats.org/officeDocument/2006/relationships/hyperlink" Target="https://www.thestar.com/news/canada/wsib-policy-pushes-hurt-workers-into-humiliating-jobs-and-unemployment-critics-say/article_42a6ca11-e8fd-5ab4-b9c3-e2e3ea16a4c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4142</Words>
  <Characters>21583</Characters>
  <Application>Microsoft Office Word</Application>
  <DocSecurity>0</DocSecurity>
  <Lines>431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Mantis</dc:creator>
  <cp:keywords/>
  <dc:description/>
  <cp:lastModifiedBy>Steve Mantis</cp:lastModifiedBy>
  <cp:revision>2</cp:revision>
  <cp:lastPrinted>2026-03-22T18:47:00Z</cp:lastPrinted>
  <dcterms:created xsi:type="dcterms:W3CDTF">2026-05-12T20:27:00Z</dcterms:created>
  <dcterms:modified xsi:type="dcterms:W3CDTF">2026-05-12T20:27:00Z</dcterms:modified>
</cp:coreProperties>
</file>